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"1-2" \h \z \u</w:instrText>
            <w:fldChar w:fldCharType="separate"/>
            <w:fldChar w:fldCharType="end"/>
          </w:r>
        </w:p>
      </w:sdtContent>
    </w:sdt>
    <w:bookmarkStart w:id="46" w:name="X18e0a0b9e309193472ff7d559f025907cd3d1ca"/>
    <w:p>
      <w:pPr>
        <w:pStyle w:val="Heading1"/>
      </w:pPr>
      <w:r>
        <w:t xml:space="preserve">AngloTutor para el Centro de Idiomas Anglo Internacional</w:t>
      </w:r>
    </w:p>
    <w:bookmarkStart w:id="45" w:name="X1f39549ea362e24743001bc1f0324a149b39b45"/>
    <w:p>
      <w:pPr>
        <w:pStyle w:val="Heading2"/>
      </w:pPr>
      <w:r>
        <w:t xml:space="preserve">Proyecto renovado 2.0 y respuesta a la evaluación de la Dirección Académica</w:t>
      </w:r>
    </w:p>
    <w:p>
      <w:pPr>
        <w:pStyle w:val="FirstParagraph"/>
      </w:pPr>
      <w:r>
        <w:rPr>
          <w:b/>
          <w:bCs/>
        </w:rPr>
        <w:t xml:space="preserve">Preparado para:</w:t>
      </w:r>
      <w:r>
        <w:t xml:space="preserve"> </w:t>
      </w:r>
      <w:r>
        <w:t xml:space="preserve">Dirección Académica (miss Delia Arias) y promotor encargado (prof. Alwin Calderón) — Centro de Idiomas Anglo Internacional (Grupo Mendel)</w:t>
      </w:r>
      <w:r>
        <w:t xml:space="preserve"> </w:t>
      </w:r>
      <w:r>
        <w:rPr>
          <w:b/>
          <w:bCs/>
        </w:rPr>
        <w:t xml:space="preserve">Preparado por:</w:t>
      </w:r>
      <w:r>
        <w:t xml:space="preserve"> </w:t>
      </w:r>
      <w:r>
        <w:t xml:space="preserve">WS AgencIA — Una división de WaltSuare Group</w:t>
      </w:r>
      <w:r>
        <w:t xml:space="preserve"> </w:t>
      </w:r>
      <w:r>
        <w:rPr>
          <w:b/>
          <w:bCs/>
        </w:rPr>
        <w:t xml:space="preserve">Fecha:</w:t>
      </w:r>
      <w:r>
        <w:t xml:space="preserve"> </w:t>
      </w:r>
      <w:r>
        <w:t xml:space="preserve">15 de setiembre de 2026</w:t>
      </w:r>
    </w:p>
    <w:p>
      <w:r>
        <w:pict>
          <v:rect style="width:0;height:1.5pt" o:hralign="center" o:hrstd="t" o:hr="t"/>
        </w:pict>
      </w:r>
    </w:p>
    <w:bookmarkStart w:id="9" w:name="resumen-ejecutivo"/>
    <w:p>
      <w:pPr>
        <w:pStyle w:val="Heading3"/>
      </w:pPr>
      <w:r>
        <w:t xml:space="preserve">Resumen ejecutivo</w:t>
      </w:r>
    </w:p>
    <w:p>
      <w:pPr>
        <w:pStyle w:val="FirstParagraph"/>
      </w:pPr>
      <w:r>
        <w:t xml:space="preserve">La evaluación de la Dirección Académica es precisa y la aceptamos como especificación de trabajo. Al contrastarla con el sistema en funcionamiento encontramos que</w:t>
      </w:r>
      <w:r>
        <w:t xml:space="preserve"> </w:t>
      </w:r>
      <w:r>
        <w:rPr>
          <w:b/>
          <w:bCs/>
        </w:rPr>
        <w:t xml:space="preserve">cuatro de las seis observaciones describen exactamente lo que la herramienta hacía</w:t>
      </w:r>
      <w:r>
        <w:t xml:space="preserve"> </w:t>
      </w:r>
      <w:r>
        <w:t xml:space="preserve">en la versión que se probó, y que</w:t>
      </w:r>
      <w:r>
        <w:t xml:space="preserve"> </w:t>
      </w:r>
      <w:r>
        <w:rPr>
          <w:b/>
          <w:bCs/>
        </w:rPr>
        <w:t xml:space="preserve">la quinta (Telegram) se refiere al canal, no al producto</w:t>
      </w:r>
      <w:r>
        <w:t xml:space="preserve">: el mismo tutor ya funciona en el navegador, sin Telegram, sin aplicación y sin redes sociales, con una respuesta de 2,4 segundos (probado el 15 de setiembre de 2026).</w:t>
      </w:r>
    </w:p>
    <w:p>
      <w:pPr>
        <w:pStyle w:val="BodyText"/>
      </w:pPr>
      <w:r>
        <w:t xml:space="preserve">Este documento no responde con argumentos: responde con el producto corregido, indicando para cada observación</w:t>
      </w:r>
      <w:r>
        <w:t xml:space="preserve"> </w:t>
      </w:r>
      <w:r>
        <w:rPr>
          <w:b/>
          <w:bCs/>
        </w:rPr>
        <w:t xml:space="preserve">qué cambia, con qué estándar pedagógico se hace y cómo el colegio lo podrá verificar</w:t>
      </w:r>
      <w:r>
        <w:t xml:space="preserve">. Incluye la ruta de aprendizaje explícita, la nivelación MCER, el andamiaje visual, la corrección lingüística tipificada, la evaluación de la pronunciación y el registro de evidencias para el docente.</w:t>
      </w:r>
    </w:p>
    <w:p>
      <w:pPr>
        <w:pStyle w:val="BodyText"/>
      </w:pPr>
      <w:r>
        <w:t xml:space="preserve">Nuestra petición es una sola y es modesta:</w:t>
      </w:r>
      <w:r>
        <w:t xml:space="preserve"> </w:t>
      </w:r>
      <w:r>
        <w:rPr>
          <w:b/>
          <w:bCs/>
        </w:rPr>
        <w:t xml:space="preserve">una reunión de 30 minutos y un piloto de 90 días con una sección</w:t>
      </w:r>
      <w:r>
        <w:t xml:space="preserve">, sin costo para el colegio, con criterios de éxito definidos por ustedes y no por nosotros. Si el piloto no demuestra aprendizaje, cerramos el tema.</w:t>
      </w:r>
    </w:p>
    <w:p>
      <w:r>
        <w:pict>
          <v:rect style="width:0;height:1.5pt" o:hralign="center" o:hrstd="t" o:hr="t"/>
        </w:pict>
      </w:r>
    </w:p>
    <w:bookmarkEnd w:id="9"/>
    <w:bookmarkStart w:id="10" w:name="las-seis-observaciones-una-por-una"/>
    <w:p>
      <w:pPr>
        <w:pStyle w:val="Heading3"/>
      </w:pPr>
      <w:r>
        <w:t xml:space="preserve">1. Las seis observaciones, una por una</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Observación de la Dirección</w:t>
            </w:r>
          </w:p>
        </w:tc>
        <w:tc>
          <w:tcPr/>
          <w:p>
            <w:pPr>
              <w:pStyle w:val="Compact"/>
            </w:pPr>
            <w:r>
              <w:t xml:space="preserve">¿Es correcta?</w:t>
            </w:r>
          </w:p>
        </w:tc>
        <w:tc>
          <w:tcPr/>
          <w:p>
            <w:pPr>
              <w:pStyle w:val="Compact"/>
            </w:pPr>
            <w:r>
              <w:t xml:space="preserve">Qué hacemos</w:t>
            </w:r>
          </w:p>
        </w:tc>
        <w:tc>
          <w:tcPr/>
          <w:p>
            <w:pPr>
              <w:pStyle w:val="Compact"/>
            </w:pPr>
            <w:r>
              <w:t xml:space="preserve">Cómo se verifica</w:t>
            </w:r>
          </w:p>
        </w:tc>
      </w:tr>
      <w:tr>
        <w:tc>
          <w:tcPr/>
          <w:p>
            <w:pPr>
              <w:pStyle w:val="Compact"/>
            </w:pPr>
            <w:r>
              <w:t xml:space="preserve">1. Objetivo de aprendizaje no claro; no hay ruta</w:t>
            </w:r>
          </w:p>
        </w:tc>
        <w:tc>
          <w:tcPr/>
          <w:p>
            <w:pPr>
              <w:pStyle w:val="Compact"/>
            </w:pPr>
            <w:r>
              <w:t xml:space="preserve">Sí, en la versión probada</w:t>
            </w:r>
          </w:p>
        </w:tc>
        <w:tc>
          <w:tcPr/>
          <w:p>
            <w:pPr>
              <w:pStyle w:val="Compact"/>
            </w:pPr>
            <w:r>
              <w:t xml:space="preserve">Ruta explícita por nivel Cambridge: mapa de estaciones del libro del colegio y sesión de 5 fases con objetivo</w:t>
            </w:r>
            <w:r>
              <w:t xml:space="preserve"> </w:t>
            </w:r>
            <w:r>
              <w:t xml:space="preserve">“can-do”</w:t>
            </w:r>
            <w:r>
              <w:t xml:space="preserve"> </w:t>
            </w:r>
            <w:r>
              <w:t xml:space="preserve">y criterio de éxito</w:t>
            </w:r>
          </w:p>
        </w:tc>
        <w:tc>
          <w:tcPr/>
          <w:p>
            <w:pPr>
              <w:pStyle w:val="Compact"/>
            </w:pPr>
            <w:r>
              <w:t xml:space="preserve">El alumno ve el objetivo antes de empezar y lo autoevalúa al cerrar; el docente lo ve en el registro</w:t>
            </w:r>
          </w:p>
        </w:tc>
      </w:tr>
      <w:tr>
        <w:tc>
          <w:tcPr/>
          <w:p>
            <w:pPr>
              <w:pStyle w:val="Compact"/>
            </w:pPr>
            <w:r>
              <w:t xml:space="preserve">2. No se adecúa al nivel MCER; responde en español</w:t>
            </w:r>
          </w:p>
        </w:tc>
        <w:tc>
          <w:tcPr/>
          <w:p>
            <w:pPr>
              <w:pStyle w:val="Compact"/>
            </w:pPr>
            <w:r>
              <w:t xml:space="preserve">Sí (reproducido el 15-09)</w:t>
            </w:r>
          </w:p>
        </w:tc>
        <w:tc>
          <w:tcPr/>
          <w:p>
            <w:pPr>
              <w:pStyle w:val="Compact"/>
            </w:pPr>
            <w:r>
              <w:t xml:space="preserve">Inglés primero (English-first) con apoyo en español solo a pedido; prueba de nivel (placement) al inicio, que ubica al alumno en el nivel que demuestra</w:t>
            </w:r>
          </w:p>
        </w:tc>
        <w:tc>
          <w:tcPr/>
          <w:p>
            <w:pPr>
              <w:pStyle w:val="Compact"/>
            </w:pPr>
            <w:r>
              <w:t xml:space="preserve">Prueba de nivel registrada; regla de idioma aplicada en cada sesión</w:t>
            </w:r>
          </w:p>
        </w:tc>
      </w:tr>
      <w:tr>
        <w:tc>
          <w:tcPr/>
          <w:p>
            <w:pPr>
              <w:pStyle w:val="Compact"/>
            </w:pPr>
            <w:r>
              <w:t xml:space="preserve">3. Falta de andamiaje y de alternativas de representación</w:t>
            </w:r>
          </w:p>
        </w:tc>
        <w:tc>
          <w:tcPr/>
          <w:p>
            <w:pPr>
              <w:pStyle w:val="Compact"/>
            </w:pPr>
            <w:r>
              <w:t xml:space="preserve">Sí (reproducido:</w:t>
            </w:r>
            <w:r>
              <w:t xml:space="preserve"> </w:t>
            </w:r>
            <w:r>
              <w:t xml:space="preserve">“aquí no puedo enviar imágenes”</w:t>
            </w:r>
            <w:r>
              <w:t xml:space="preserve">)</w:t>
            </w:r>
          </w:p>
        </w:tc>
        <w:tc>
          <w:tcPr/>
          <w:p>
            <w:pPr>
              <w:pStyle w:val="Compact"/>
            </w:pPr>
            <w:r>
              <w:t xml:space="preserve">Láminas e infografías dentro de la conversación, audio, tablas y texto simplificado; ayuda que se retira a medida que el alumno avanza</w:t>
            </w:r>
          </w:p>
        </w:tc>
        <w:tc>
          <w:tcPr/>
          <w:p>
            <w:pPr>
              <w:pStyle w:val="Compact"/>
            </w:pPr>
            <w:r>
              <w:t xml:space="preserve">La lámina aparece en el chat y la sesión indica qué ayuda se dio</w:t>
            </w:r>
          </w:p>
        </w:tc>
      </w:tr>
      <w:tr>
        <w:tc>
          <w:tcPr/>
          <w:p>
            <w:pPr>
              <w:pStyle w:val="Compact"/>
            </w:pPr>
            <w:r>
              <w:t xml:space="preserve">4. Corrección lingüística poco fiable (Immersive Reader, pronunciación)</w:t>
            </w:r>
          </w:p>
        </w:tc>
        <w:tc>
          <w:tcPr/>
          <w:p>
            <w:pPr>
              <w:pStyle w:val="Compact"/>
            </w:pPr>
            <w:r>
              <w:t xml:space="preserve">Sí, y era el punto más débil</w:t>
            </w:r>
          </w:p>
        </w:tc>
        <w:tc>
          <w:tcPr/>
          <w:p>
            <w:pPr>
              <w:pStyle w:val="Compact"/>
            </w:pPr>
            <w:r>
              <w:t xml:space="preserve">Se retiró la aproximación castellana de la pronunciación; se trabaja con alfabeto fonético + audio, y con evaluación de pronunciación por fonema</w:t>
            </w:r>
          </w:p>
        </w:tc>
        <w:tc>
          <w:tcPr/>
          <w:p>
            <w:pPr>
              <w:pStyle w:val="Compact"/>
            </w:pPr>
            <w:r>
              <w:t xml:space="preserve">Comparación de la corrección por sesión y reporte de los fonemas que más necesita</w:t>
            </w:r>
          </w:p>
        </w:tc>
      </w:tr>
      <w:tr>
        <w:tc>
          <w:tcPr/>
          <w:p>
            <w:pPr>
              <w:pStyle w:val="Compact"/>
            </w:pPr>
            <w:r>
              <w:t xml:space="preserve">5. La evaluación oral por Telegram no es viable</w:t>
            </w:r>
          </w:p>
        </w:tc>
        <w:tc>
          <w:tcPr/>
          <w:p>
            <w:pPr>
              <w:pStyle w:val="Compact"/>
            </w:pPr>
            <w:r>
              <w:t xml:space="preserve">Correcto respecto al canal probado</w:t>
            </w:r>
          </w:p>
        </w:tc>
        <w:tc>
          <w:tcPr/>
          <w:p>
            <w:pPr>
              <w:pStyle w:val="Compact"/>
            </w:pPr>
            <w:r>
              <w:t xml:space="preserve">Se elimina Telegram por completo: el tutor vive en el navegador (computadora del colegio, laptop o tableta), sin aplicación y sin redes sociales</w:t>
            </w:r>
          </w:p>
        </w:tc>
        <w:tc>
          <w:tcPr/>
          <w:p>
            <w:pPr>
              <w:pStyle w:val="Compact"/>
            </w:pPr>
            <w:r>
              <w:t xml:space="preserve">Se prueba en la red del colegio, sin instalar nada</w:t>
            </w:r>
          </w:p>
        </w:tc>
      </w:tr>
      <w:tr>
        <w:tc>
          <w:tcPr/>
          <w:p>
            <w:pPr>
              <w:pStyle w:val="Compact"/>
            </w:pPr>
            <w:r>
              <w:t xml:space="preserve">6. La experiencia se reduce a un chat repetitivo, sin progresión ni evidencia</w:t>
            </w:r>
          </w:p>
        </w:tc>
        <w:tc>
          <w:tcPr/>
          <w:p>
            <w:pPr>
              <w:pStyle w:val="Compact"/>
            </w:pPr>
            <w:r>
              <w:t xml:space="preserve">Sí: es la consecuencia de 1 a 5</w:t>
            </w:r>
          </w:p>
        </w:tc>
        <w:tc>
          <w:tcPr/>
          <w:p>
            <w:pPr>
              <w:pStyle w:val="Compact"/>
            </w:pPr>
            <w:r>
              <w:t xml:space="preserve">Sesión con progresión, variedad de actividades y registro de evidencias por sesión: qué aprendió, qué errores repite, qué practicar</w:t>
            </w:r>
          </w:p>
        </w:tc>
        <w:tc>
          <w:tcPr/>
          <w:p>
            <w:pPr>
              <w:pStyle w:val="Compact"/>
            </w:pPr>
            <w:r>
              <w:t xml:space="preserve">Reporte por alumno y por clase, exportable, con nivel MCER estimado por habilidad</w:t>
            </w:r>
          </w:p>
        </w:tc>
      </w:tr>
    </w:tbl>
    <w:p>
      <w:pPr>
        <w:pStyle w:val="BodyText"/>
      </w:pPr>
      <w:r>
        <w:rPr>
          <w:b/>
          <w:bCs/>
        </w:rPr>
        <w:t xml:space="preserve">Conclusión del contraste:</w:t>
      </w:r>
      <w:r>
        <w:t xml:space="preserve"> </w:t>
      </w:r>
      <w:r>
        <w:t xml:space="preserve">las observaciones 1, 3, 4, 5 y 6 no cuestionan la idea de un tutor de inglés con apoyo de IA; describen con exactitud un producto que no tenía ruta, ni nivel, ni materiales visuales, ni evidencia, y que además se probó por el canal equivocado (Telegram). Eso es trabajo pendiente, y es exactamente el trabajo que se presenta aquí.</w:t>
      </w:r>
    </w:p>
    <w:p>
      <w:r>
        <w:pict>
          <v:rect style="width:0;height:1.5pt" o:hralign="center" o:hrstd="t" o:hr="t"/>
        </w:pict>
      </w:r>
    </w:p>
    <w:bookmarkEnd w:id="10"/>
    <w:bookmarkStart w:id="11" w:name="el-canal-cambió-sin-telegram"/>
    <w:p>
      <w:pPr>
        <w:pStyle w:val="Heading3"/>
      </w:pPr>
      <w:r>
        <w:t xml:space="preserve">2. El canal cambió: sin Telegram</w:t>
      </w:r>
    </w:p>
    <w:p>
      <w:pPr>
        <w:pStyle w:val="FirstParagraph"/>
      </w:pPr>
      <w:r>
        <w:t xml:space="preserve">La observación 5 es la más importante y la resolvemos eliminando el problema en su raíz:</w:t>
      </w:r>
    </w:p>
    <w:p>
      <w:pPr>
        <w:pStyle w:val="Compact"/>
        <w:numPr>
          <w:ilvl w:val="0"/>
          <w:numId w:val="1001"/>
        </w:numPr>
      </w:pPr>
      <w:r>
        <w:rPr>
          <w:b/>
          <w:bCs/>
        </w:rPr>
        <w:t xml:space="preserve">Acceso por el navegador del colegio.</w:t>
      </w:r>
      <w:r>
        <w:t xml:space="preserve"> </w:t>
      </w:r>
      <w:r>
        <w:t xml:space="preserve">El tutor se abre en la computadora del aula, el laboratorio de cómputo, una laptop o una tableta. No se instala nada, no se pide número de celular, no hay aplicación que descargar y no se usa ninguna red social.</w:t>
      </w:r>
    </w:p>
    <w:p>
      <w:pPr>
        <w:pStyle w:val="Compact"/>
        <w:numPr>
          <w:ilvl w:val="0"/>
          <w:numId w:val="1001"/>
        </w:numPr>
      </w:pPr>
      <w:r>
        <w:rPr>
          <w:b/>
          <w:bCs/>
        </w:rPr>
        <w:t xml:space="preserve">Cuentas del colegio.</w:t>
      </w:r>
      <w:r>
        <w:t xml:space="preserve"> </w:t>
      </w:r>
      <w:r>
        <w:t xml:space="preserve">El acceso se entrega con códigos institucionales administrados por el Centro de Idiomas (ya existe el panel de códigos por alumno y por nivel). El alumno no crea cuentas ni comparte datos personales.</w:t>
      </w:r>
    </w:p>
    <w:p>
      <w:pPr>
        <w:pStyle w:val="Compact"/>
        <w:numPr>
          <w:ilvl w:val="0"/>
          <w:numId w:val="1001"/>
        </w:numPr>
      </w:pPr>
      <w:r>
        <w:rPr>
          <w:b/>
          <w:bCs/>
        </w:rPr>
        <w:t xml:space="preserve">Coherente con la normativa peruana.</w:t>
      </w:r>
      <w:r>
        <w:t xml:space="preserve"> </w:t>
      </w:r>
      <w:r>
        <w:t xml:space="preserve">La Ley N.° 32385 restringe el uso del</w:t>
      </w:r>
      <w:r>
        <w:t xml:space="preserve"> </w:t>
      </w:r>
      <w:r>
        <w:rPr>
          <w:b/>
          <w:bCs/>
        </w:rPr>
        <w:t xml:space="preserve">celular personal</w:t>
      </w:r>
      <w:r>
        <w:t xml:space="preserve"> </w:t>
      </w:r>
      <w:r>
        <w:t xml:space="preserve">del alumno y exceptúa expresamente el uso académico guiado; un tutor que corre en las computadoras del colegio no es</w:t>
      </w:r>
      <w:r>
        <w:t xml:space="preserve"> </w:t>
      </w:r>
      <w:r>
        <w:t xml:space="preserve">“celular en el aula”</w:t>
      </w:r>
      <w:r>
        <w:t xml:space="preserve">. La Ley N.° 29733 y su Reglamento (D.S. N.° 016-2024-JUS) exigen consentimiento de los padres para menores de 14 años, asentimiento informado entre 14 y 17, y prohíben recoger datos de la familia a través de los menores: nuestro diseño solo almacena el código institucional y la actividad de práctica.</w:t>
      </w:r>
    </w:p>
    <w:p>
      <w:pPr>
        <w:pStyle w:val="Compact"/>
        <w:numPr>
          <w:ilvl w:val="0"/>
          <w:numId w:val="1001"/>
        </w:numPr>
      </w:pPr>
      <w:r>
        <w:rPr>
          <w:b/>
          <w:bCs/>
        </w:rPr>
        <w:t xml:space="preserve">Por qué esto responde también a la preocupación por los menores.</w:t>
      </w:r>
      <w:r>
        <w:t xml:space="preserve"> </w:t>
      </w:r>
      <w:r>
        <w:t xml:space="preserve">Son las plataformas abiertas de mensajería y redes las que la Defensoría del Pueblo señala como superficie de riesgo (contacto con desconocidos, perfiles públicos, chats no supervisados). Aquí no hay chat abierto entre usuarios, no hay perfiles públicos, no hay contacto con desconocidos: hay una sesión de práctica supervisada por el colegio, con registro auditable.</w:t>
      </w:r>
    </w:p>
    <w:p>
      <w:pPr>
        <w:pStyle w:val="FirstParagraph"/>
      </w:pPr>
      <w:r>
        <w:rPr>
          <w:b/>
          <w:bCs/>
        </w:rPr>
        <w:t xml:space="preserve">Evidencia en vivo.</w:t>
      </w:r>
      <w:r>
        <w:t xml:space="preserve"> </w:t>
      </w:r>
      <w:r>
        <w:t xml:space="preserve">El tutor web respondió el 15-09-2026 en 2,4 segundos, desde el dominio de la agencia, con audio de voz educadora y botón de micrófono, sin Telegram en ningún momento. Está disponible para que la Dirección lo pruebe hoy mismo, en su computadora.</w:t>
      </w:r>
    </w:p>
    <w:p>
      <w:r>
        <w:pict>
          <v:rect style="width:0;height:1.5pt" o:hralign="center" o:hrstd="t" o:hr="t"/>
        </w:pict>
      </w:r>
    </w:p>
    <w:bookmarkEnd w:id="11"/>
    <w:bookmarkStart w:id="15" w:name="Xd57e9825c2de62ee2627737c3a5bc65e704d44f"/>
    <w:p>
      <w:pPr>
        <w:pStyle w:val="Heading3"/>
      </w:pPr>
      <w:r>
        <w:t xml:space="preserve">3. Ruta de aprendizaje explícita (observaciones 1 y 6)</w:t>
      </w:r>
    </w:p>
    <w:bookmarkStart w:id="12" w:name="Xe8e20adcba605cd2f657f681839b9cf3b481ec1"/>
    <w:p>
      <w:pPr>
        <w:pStyle w:val="Heading4"/>
      </w:pPr>
      <w:r>
        <w:t xml:space="preserve">3.1 La ruta, del libro del colegio al examen Cambridge</w:t>
      </w:r>
    </w:p>
    <w:p>
      <w:pPr>
        <w:pStyle w:val="FirstParagraph"/>
      </w:pPr>
      <w:r>
        <w:t xml:space="preserve">La ruta no es un temario inventado: se construye estación por estación sobre los</w:t>
      </w:r>
      <w:r>
        <w:t xml:space="preserve"> </w:t>
      </w:r>
      <w:r>
        <w:rPr>
          <w:b/>
          <w:bCs/>
        </w:rPr>
        <w:t xml:space="preserve">seis libros Cambridge que el Centro ya usa</w:t>
      </w:r>
      <w:r>
        <w:t xml:space="preserve"> </w:t>
      </w:r>
      <w:r>
        <w:t xml:space="preserve">(Starters Pre-A1, Movers A1, Flyers A2, Key A2, PET B1 y B2 First), y cada estación se declara en tres lenguajes a la vez:</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Elemento</w:t>
            </w:r>
          </w:p>
        </w:tc>
        <w:tc>
          <w:tcPr/>
          <w:p>
            <w:pPr>
              <w:pStyle w:val="Compact"/>
            </w:pPr>
            <w:r>
              <w:t xml:space="preserve">Cómo se ve para el alumno</w:t>
            </w:r>
          </w:p>
        </w:tc>
        <w:tc>
          <w:tcPr/>
          <w:p>
            <w:pPr>
              <w:pStyle w:val="Compact"/>
            </w:pPr>
            <w:r>
              <w:t xml:space="preserve">Cómo se ve para el docente</w:t>
            </w:r>
          </w:p>
        </w:tc>
      </w:tr>
      <w:tr>
        <w:tc>
          <w:tcPr/>
          <w:p>
            <w:pPr>
              <w:pStyle w:val="Compact"/>
            </w:pPr>
            <w:r>
              <w:t xml:space="preserve">Nivel</w:t>
            </w:r>
          </w:p>
        </w:tc>
        <w:tc>
          <w:tcPr/>
          <w:p>
            <w:pPr>
              <w:pStyle w:val="Compact"/>
            </w:pPr>
            <w:r>
              <w:t xml:space="preserve">“Estás en Movers (A1)”</w:t>
            </w:r>
          </w:p>
        </w:tc>
        <w:tc>
          <w:tcPr/>
          <w:p>
            <w:pPr>
              <w:pStyle w:val="Compact"/>
            </w:pPr>
            <w:r>
              <w:t xml:space="preserve">Nivel Cambridge y estimación MCER del aula</w:t>
            </w:r>
          </w:p>
        </w:tc>
      </w:tr>
      <w:tr>
        <w:tc>
          <w:tcPr/>
          <w:p>
            <w:pPr>
              <w:pStyle w:val="Compact"/>
            </w:pPr>
            <w:r>
              <w:t xml:space="preserve">Estación / unidad</w:t>
            </w:r>
          </w:p>
        </w:tc>
        <w:tc>
          <w:tcPr/>
          <w:p>
            <w:pPr>
              <w:pStyle w:val="Compact"/>
            </w:pPr>
            <w:r>
              <w:t xml:space="preserve">“Unidad 4 del libro: animales y sonidos”</w:t>
            </w:r>
          </w:p>
        </w:tc>
        <w:tc>
          <w:tcPr/>
          <w:p>
            <w:pPr>
              <w:pStyle w:val="Compact"/>
            </w:pPr>
            <w:r>
              <w:t xml:space="preserve">Unidad del libro, fecha y tiempo de práctica</w:t>
            </w:r>
          </w:p>
        </w:tc>
      </w:tr>
      <w:tr>
        <w:tc>
          <w:tcPr/>
          <w:p>
            <w:pPr>
              <w:pStyle w:val="Compact"/>
            </w:pPr>
            <w:r>
              <w:t xml:space="preserve">Objetivo (can-do)</w:t>
            </w:r>
          </w:p>
        </w:tc>
        <w:tc>
          <w:tcPr/>
          <w:p>
            <w:pPr>
              <w:pStyle w:val="Compact"/>
            </w:pPr>
            <w:r>
              <w:t xml:space="preserve">“Today: I can name 8 animals”</w:t>
            </w:r>
            <w:r>
              <w:t xml:space="preserve"> </w:t>
            </w:r>
            <w:r>
              <w:t xml:space="preserve">(hoy: puedo nombrar 8 animales)</w:t>
            </w:r>
          </w:p>
        </w:tc>
        <w:tc>
          <w:tcPr/>
          <w:p>
            <w:pPr>
              <w:pStyle w:val="Compact"/>
            </w:pPr>
            <w:r>
              <w:t xml:space="preserve">Objetivo y criterio de éxito con el porcentaje de alumnos que lo logró</w:t>
            </w:r>
          </w:p>
        </w:tc>
      </w:tr>
      <w:tr>
        <w:tc>
          <w:tcPr/>
          <w:p>
            <w:pPr>
              <w:pStyle w:val="Compact"/>
            </w:pPr>
            <w:r>
              <w:t xml:space="preserve">Actividades</w:t>
            </w:r>
          </w:p>
        </w:tc>
        <w:tc>
          <w:tcPr/>
          <w:p>
            <w:pPr>
              <w:pStyle w:val="Compact"/>
            </w:pPr>
            <w:r>
              <w:t xml:space="preserve">2 a 3 ejercicios, de más fácil a más difícil</w:t>
            </w:r>
          </w:p>
        </w:tc>
        <w:tc>
          <w:tcPr/>
          <w:p>
            <w:pPr>
              <w:pStyle w:val="Compact"/>
            </w:pPr>
            <w:r>
              <w:t xml:space="preserve">Tipo de actividad y resultado</w:t>
            </w:r>
          </w:p>
        </w:tc>
      </w:tr>
      <w:tr>
        <w:tc>
          <w:tcPr/>
          <w:p>
            <w:pPr>
              <w:pStyle w:val="Compact"/>
            </w:pPr>
            <w:r>
              <w:t xml:space="preserve">Cierre</w:t>
            </w:r>
          </w:p>
        </w:tc>
        <w:tc>
          <w:tcPr/>
          <w:p>
            <w:pPr>
              <w:pStyle w:val="Compact"/>
            </w:pPr>
            <w:r>
              <w:t xml:space="preserve">“¿Ya puedes? Sí / Casi / Todavía no”</w:t>
            </w:r>
          </w:p>
        </w:tc>
        <w:tc>
          <w:tcPr/>
          <w:p>
            <w:pPr>
              <w:pStyle w:val="Compact"/>
            </w:pPr>
            <w:r>
              <w:t xml:space="preserve">Autoevaluación, errores y recomendación para la clase</w:t>
            </w:r>
          </w:p>
        </w:tc>
      </w:tr>
    </w:tbl>
    <w:p>
      <w:pPr>
        <w:pStyle w:val="BodyText"/>
      </w:pPr>
      <w:r>
        <w:t xml:space="preserve">Los objetivos se escriben como descriptores observables (</w:t>
      </w:r>
      <w:r>
        <w:t xml:space="preserve">“puedo hacer”</w:t>
      </w:r>
      <w:r>
        <w:t xml:space="preserve">), que es la forma que el Marco Común Europeo de Referencia (MCER) usa para sus niveles y que el Consejo de Europa describe como una hoja de ruta clara y compartida para el aprendizaje (MCER, Consejo de Europa). Esa misma formulación permite que la ruta sea evaluable: un objetivo observable se mide; una intención no.</w:t>
      </w:r>
    </w:p>
    <w:bookmarkEnd w:id="12"/>
    <w:bookmarkStart w:id="13" w:name="X3917015c97c6e2b2424613f1779e8bfbd7d0cc8"/>
    <w:p>
      <w:pPr>
        <w:pStyle w:val="Heading4"/>
      </w:pPr>
      <w:r>
        <w:t xml:space="preserve">3.2 La sesión: cinco fases con ayuda que se retira</w:t>
      </w:r>
    </w:p>
    <w:p>
      <w:pPr>
        <w:pStyle w:val="FirstParagraph"/>
      </w:pPr>
      <w:r>
        <w:t xml:space="preserve">Cada sesión sigue siempre el mismo orden, para que el alumno sepa dónde está:</w:t>
      </w:r>
    </w:p>
    <w:p>
      <w:pPr>
        <w:pStyle w:val="Compact"/>
        <w:numPr>
          <w:ilvl w:val="0"/>
          <w:numId w:val="1002"/>
        </w:numPr>
      </w:pPr>
      <w:r>
        <w:rPr>
          <w:b/>
          <w:bCs/>
        </w:rPr>
        <w:t xml:space="preserve">Objetivo</w:t>
      </w:r>
      <w:r>
        <w:t xml:space="preserve"> </w:t>
      </w:r>
      <w:r>
        <w:t xml:space="preserve">— el can-do del día y cómo se evaluará.</w:t>
      </w:r>
    </w:p>
    <w:p>
      <w:pPr>
        <w:pStyle w:val="Compact"/>
        <w:numPr>
          <w:ilvl w:val="0"/>
          <w:numId w:val="1002"/>
        </w:numPr>
      </w:pPr>
      <w:r>
        <w:rPr>
          <w:b/>
          <w:bCs/>
        </w:rPr>
        <w:t xml:space="preserve">Activación (warm-up)</w:t>
      </w:r>
      <w:r>
        <w:t xml:space="preserve"> </w:t>
      </w:r>
      <w:r>
        <w:t xml:space="preserve">— una pregunta que conecta con lo que el alumno ya sabe.</w:t>
      </w:r>
    </w:p>
    <w:p>
      <w:pPr>
        <w:pStyle w:val="Compact"/>
        <w:numPr>
          <w:ilvl w:val="0"/>
          <w:numId w:val="1002"/>
        </w:numPr>
      </w:pPr>
      <w:r>
        <w:rPr>
          <w:b/>
          <w:bCs/>
        </w:rPr>
        <w:t xml:space="preserve">Enseñanza</w:t>
      </w:r>
      <w:r>
        <w:t xml:space="preserve"> </w:t>
      </w:r>
      <w:r>
        <w:t xml:space="preserve">— explicación breve con tres ejemplos, apoyo visual y audio.</w:t>
      </w:r>
    </w:p>
    <w:p>
      <w:pPr>
        <w:pStyle w:val="Compact"/>
        <w:numPr>
          <w:ilvl w:val="0"/>
          <w:numId w:val="1002"/>
        </w:numPr>
      </w:pPr>
      <w:r>
        <w:rPr>
          <w:b/>
          <w:bCs/>
        </w:rPr>
        <w:t xml:space="preserve">Práctica guiada</w:t>
      </w:r>
      <w:r>
        <w:t xml:space="preserve"> </w:t>
      </w:r>
      <w:r>
        <w:t xml:space="preserve">— tres ejercicios en escalera: el primero con el modelo resuelto, el segundo con una pista parcial y el tercero sin ayuda.</w:t>
      </w:r>
    </w:p>
    <w:p>
      <w:pPr>
        <w:pStyle w:val="Compact"/>
        <w:numPr>
          <w:ilvl w:val="0"/>
          <w:numId w:val="1002"/>
        </w:numPr>
      </w:pPr>
      <w:r>
        <w:rPr>
          <w:b/>
          <w:bCs/>
        </w:rPr>
        <w:t xml:space="preserve">Producción y cierre</w:t>
      </w:r>
      <w:r>
        <w:t xml:space="preserve"> </w:t>
      </w:r>
      <w:r>
        <w:t xml:space="preserve">— el alumno produce solo, se autoevalúa con el can-do y se registran dos puntos para practicar.</w:t>
      </w:r>
    </w:p>
    <w:p>
      <w:pPr>
        <w:pStyle w:val="FirstParagraph"/>
      </w:pPr>
      <w:r>
        <w:t xml:space="preserve">La escalera de ayuda (modelo → pista → solo) es el procedimiento que la investigación describe como el andamiaje bien hecho: ayuda ajustada que</w:t>
      </w:r>
      <w:r>
        <w:t xml:space="preserve"> </w:t>
      </w:r>
      <w:r>
        <w:rPr>
          <w:b/>
          <w:bCs/>
        </w:rPr>
        <w:t xml:space="preserve">se retira</w:t>
      </w:r>
      <w:r>
        <w:t xml:space="preserve"> </w:t>
      </w:r>
      <w:r>
        <w:t xml:space="preserve">a medida que crece la competencia. Un chat que da siempre el mismo tipo de respuesta no es andamiaje, porque no tiene esa retirada; por eso la sesión está diseñada con las cinco fases y por eso cada mensaje indica en qué paso va:</w:t>
      </w:r>
      <w:r>
        <w:t xml:space="preserve"> </w:t>
      </w:r>
      <w:r>
        <w:rPr>
          <w:rStyle w:val="VerbatimChar"/>
        </w:rPr>
        <w:t xml:space="preserve">[Paso 3/5 · Práctica]</w:t>
      </w:r>
      <w:r>
        <w:t xml:space="preserve">.</w:t>
      </w:r>
    </w:p>
    <w:bookmarkEnd w:id="13"/>
    <w:bookmarkStart w:id="14" w:name="variedad-de-actividades"/>
    <w:p>
      <w:pPr>
        <w:pStyle w:val="Heading4"/>
      </w:pPr>
      <w:r>
        <w:t xml:space="preserve">3.3 Variedad de actividades</w:t>
      </w:r>
    </w:p>
    <w:p>
      <w:pPr>
        <w:pStyle w:val="FirstParagraph"/>
      </w:pPr>
      <w:r>
        <w:t xml:space="preserve">Práctica de vocabulario con lámina, corrección de frases escritas por el alumno, lectura corta con preguntas, dictado, descripción de imagen (hablando o escribiendo), mini-simulacros de examen por nivel y tarjetas de repaso de los errores propios. La variedad no es decorativa: es lo que separa una sesión de práctica de una conversación circular.</w:t>
      </w:r>
    </w:p>
    <w:p>
      <w:r>
        <w:pict>
          <v:rect style="width:0;height:1.5pt" o:hralign="center" o:hrstd="t" o:hr="t"/>
        </w:pict>
      </w:r>
    </w:p>
    <w:bookmarkEnd w:id="14"/>
    <w:bookmarkEnd w:id="15"/>
    <w:bookmarkStart w:id="16" w:name="nivel-mcer-e-idioma-observación-2"/>
    <w:p>
      <w:pPr>
        <w:pStyle w:val="Heading3"/>
      </w:pPr>
      <w:r>
        <w:t xml:space="preserve">4. Nivel MCER e idioma (observación 2)</w:t>
      </w:r>
    </w:p>
    <w:p>
      <w:pPr>
        <w:pStyle w:val="FirstParagraph"/>
      </w:pPr>
      <w:r>
        <w:rPr>
          <w:b/>
          <w:bCs/>
        </w:rPr>
        <w:t xml:space="preserve">Se acaba el</w:t>
      </w:r>
      <w:r>
        <w:rPr>
          <w:b/>
          <w:bCs/>
        </w:rPr>
        <w:t xml:space="preserve"> </w:t>
      </w:r>
      <w:r>
        <w:rPr>
          <w:b/>
          <w:bCs/>
        </w:rPr>
        <w:t xml:space="preserve">“responde en español porque le escribieron en español”</w:t>
      </w:r>
      <w:r>
        <w:rPr>
          <w:b/>
          <w:bCs/>
        </w:rPr>
        <w:t xml:space="preserve">.</w:t>
      </w:r>
      <w:r>
        <w:t xml:space="preserve"> </w:t>
      </w:r>
      <w:r>
        <w:t xml:space="preserve">La regla de la herramienta pasa a ser:</w:t>
      </w:r>
    </w:p>
    <w:p>
      <w:pPr>
        <w:pStyle w:val="Compact"/>
        <w:numPr>
          <w:ilvl w:val="0"/>
          <w:numId w:val="1003"/>
        </w:numPr>
      </w:pPr>
      <w:r>
        <w:t xml:space="preserve">La clase se dicta</w:t>
      </w:r>
      <w:r>
        <w:t xml:space="preserve"> </w:t>
      </w:r>
      <w:r>
        <w:rPr>
          <w:b/>
          <w:bCs/>
        </w:rPr>
        <w:t xml:space="preserve">en inglés</w:t>
      </w:r>
      <w:r>
        <w:t xml:space="preserve">, calibrado al nivel del alumno.</w:t>
      </w:r>
    </w:p>
    <w:p>
      <w:pPr>
        <w:pStyle w:val="Compact"/>
        <w:numPr>
          <w:ilvl w:val="0"/>
          <w:numId w:val="1003"/>
        </w:numPr>
      </w:pPr>
      <w:r>
        <w:t xml:space="preserve">Los enunciados de práctica son siempre en inglés, en frases cortas y con apoyo visual en niveles iniciales.</w:t>
      </w:r>
    </w:p>
    <w:p>
      <w:pPr>
        <w:pStyle w:val="Compact"/>
        <w:numPr>
          <w:ilvl w:val="0"/>
          <w:numId w:val="1003"/>
        </w:numPr>
      </w:pPr>
      <w:r>
        <w:t xml:space="preserve">El español aparece</w:t>
      </w:r>
      <w:r>
        <w:t xml:space="preserve"> </w:t>
      </w:r>
      <w:r>
        <w:rPr>
          <w:b/>
          <w:bCs/>
        </w:rPr>
        <w:t xml:space="preserve">solo</w:t>
      </w:r>
      <w:r>
        <w:t xml:space="preserve"> </w:t>
      </w:r>
      <w:r>
        <w:t xml:space="preserve">si el alumno lo pide (</w:t>
      </w:r>
      <w:r>
        <w:t xml:space="preserve">“no entiendo”</w:t>
      </w:r>
      <w:r>
        <w:t xml:space="preserve">,</w:t>
      </w:r>
      <w:r>
        <w:t xml:space="preserve"> </w:t>
      </w:r>
      <w:r>
        <w:t xml:space="preserve">“explícame en español”</w:t>
      </w:r>
      <w:r>
        <w:t xml:space="preserve">), si hay una instrucción de seguridad o si el aviso es para la familia; en esos casos va etiquetado como</w:t>
      </w:r>
      <w:r>
        <w:t xml:space="preserve"> </w:t>
      </w:r>
      <w:r>
        <w:t xml:space="preserve">“Apoyo en español”</w:t>
      </w:r>
      <w:r>
        <w:t xml:space="preserve"> </w:t>
      </w:r>
      <w:r>
        <w:t xml:space="preserve">y la respuesta vuelve al inglés.</w:t>
      </w:r>
    </w:p>
    <w:p>
      <w:pPr>
        <w:pStyle w:val="Compact"/>
        <w:numPr>
          <w:ilvl w:val="0"/>
          <w:numId w:val="1003"/>
        </w:numPr>
      </w:pPr>
      <w:r>
        <w:t xml:space="preserve">Si el alumno escribe en español, la herramienta</w:t>
      </w:r>
      <w:r>
        <w:t xml:space="preserve"> </w:t>
      </w:r>
      <w:r>
        <w:rPr>
          <w:b/>
          <w:bCs/>
        </w:rPr>
        <w:t xml:space="preserve">no cambia de idioma por sí sola</w:t>
      </w:r>
      <w:r>
        <w:t xml:space="preserve">: responde en inglés simple y le ofrece la explicación en español para que la pida.</w:t>
      </w:r>
    </w:p>
    <w:p>
      <w:pPr>
        <w:pStyle w:val="FirstParagraph"/>
      </w:pPr>
      <w:r>
        <w:t xml:space="preserve">Además,</w:t>
      </w:r>
      <w:r>
        <w:t xml:space="preserve"> </w:t>
      </w:r>
      <w:r>
        <w:rPr>
          <w:b/>
          <w:bCs/>
        </w:rPr>
        <w:t xml:space="preserve">nadie empieza</w:t>
      </w:r>
      <w:r>
        <w:rPr>
          <w:b/>
          <w:bCs/>
        </w:rPr>
        <w:t xml:space="preserve"> </w:t>
      </w:r>
      <w:r>
        <w:rPr>
          <w:b/>
          <w:bCs/>
        </w:rPr>
        <w:t xml:space="preserve">“en el aire”</w:t>
      </w:r>
      <w:r>
        <w:t xml:space="preserve">: al primer ingreso se aplica una</w:t>
      </w:r>
      <w:r>
        <w:t xml:space="preserve"> </w:t>
      </w:r>
      <w:r>
        <w:rPr>
          <w:b/>
          <w:bCs/>
        </w:rPr>
        <w:t xml:space="preserve">prueba de nivel breve</w:t>
      </w:r>
      <w:r>
        <w:t xml:space="preserve"> </w:t>
      </w:r>
      <w:r>
        <w:t xml:space="preserve">(vocabulario, gramática y comprensión) y el alumno queda ubicado en uno de los niveles Cambridge, con su equivalencia MCER. La nivelación se puede repetir al final del bimestre (véase la sección 7) y es la base del seguimiento.</w:t>
      </w:r>
    </w:p>
    <w:p>
      <w:pPr>
        <w:pStyle w:val="BodyText"/>
      </w:pPr>
      <w:r>
        <w:rPr>
          <w:i/>
          <w:iCs/>
        </w:rPr>
        <w:t xml:space="preserve">Verificado el 15-09 con el prototipo del nuevo motor: la misma pregunta que antes producía una clase completa en español ahora produce la prueba de nivel en inglés, con el apoyo en español solo donde corresponde.</w:t>
      </w:r>
    </w:p>
    <w:p>
      <w:r>
        <w:pict>
          <v:rect style="width:0;height:1.5pt" o:hralign="center" o:hrstd="t" o:hr="t"/>
        </w:pict>
      </w:r>
    </w:p>
    <w:bookmarkEnd w:id="16"/>
    <w:bookmarkStart w:id="17" w:name="Xb32ec95d78af5c98169241b54730ebd4288a1c3"/>
    <w:p>
      <w:pPr>
        <w:pStyle w:val="Heading3"/>
      </w:pPr>
      <w:r>
        <w:t xml:space="preserve">5. Andamiaje y formas de representación (observación 3)</w:t>
      </w:r>
    </w:p>
    <w:p>
      <w:pPr>
        <w:pStyle w:val="FirstParagraph"/>
      </w:pPr>
      <w:r>
        <w:t xml:space="preserve">Esta observación usa el lenguaje del diseño universal para el aprendizaje (UDL, CAST), cuyo principio de representación pide ofrecer la información por varios medios y, en concreto,</w:t>
      </w:r>
      <w:r>
        <w:t xml:space="preserve"> </w:t>
      </w:r>
      <w:r>
        <w:t xml:space="preserve">“ilustrar mediante medios múltiples”</w:t>
      </w:r>
      <w:r>
        <w:t xml:space="preserve">. La respuesta es la misma idea, aplicada al chat:</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Apoyo</w:t>
            </w:r>
          </w:p>
        </w:tc>
        <w:tc>
          <w:tcPr/>
          <w:p>
            <w:pPr>
              <w:pStyle w:val="Compact"/>
            </w:pPr>
            <w:r>
              <w:t xml:space="preserve">Cómo funciona</w:t>
            </w:r>
          </w:p>
        </w:tc>
        <w:tc>
          <w:tcPr/>
          <w:p>
            <w:pPr>
              <w:pStyle w:val="Compact"/>
            </w:pPr>
            <w:r>
              <w:t xml:space="preserve">Estado</w:t>
            </w:r>
          </w:p>
        </w:tc>
      </w:tr>
      <w:tr>
        <w:tc>
          <w:tcPr/>
          <w:p>
            <w:pPr>
              <w:pStyle w:val="Compact"/>
            </w:pPr>
            <w:r>
              <w:t xml:space="preserve">Láminas e ilustraciones dentro del chat</w:t>
            </w:r>
          </w:p>
        </w:tc>
        <w:tc>
          <w:tcPr/>
          <w:p>
            <w:pPr>
              <w:pStyle w:val="Compact"/>
            </w:pPr>
            <w:r>
              <w:t xml:space="preserve">El tutor pide la lámina y el sistema la muestra en la conversación (el prototipo ya emite la instrucción</w:t>
            </w:r>
            <w:r>
              <w:t xml:space="preserve"> </w:t>
            </w:r>
            <w:r>
              <w:rPr>
                <w:rStyle w:val="VerbatimChar"/>
              </w:rPr>
              <w:t xml:space="preserve">[[IMG:...]]</w:t>
            </w:r>
            <w:r>
              <w:t xml:space="preserve">)</w:t>
            </w:r>
          </w:p>
        </w:tc>
        <w:tc>
          <w:tcPr/>
          <w:p>
            <w:pPr>
              <w:pStyle w:val="Compact"/>
            </w:pPr>
            <w:r>
              <w:t xml:space="preserve">Ya funciona</w:t>
            </w:r>
          </w:p>
        </w:tc>
      </w:tr>
      <w:tr>
        <w:tc>
          <w:tcPr/>
          <w:p>
            <w:pPr>
              <w:pStyle w:val="Compact"/>
            </w:pPr>
            <w:r>
              <w:t xml:space="preserve">Audio de cada palabra y frase</w:t>
            </w:r>
          </w:p>
        </w:tc>
        <w:tc>
          <w:tcPr/>
          <w:p>
            <w:pPr>
              <w:pStyle w:val="Compact"/>
            </w:pPr>
            <w:r>
              <w:t xml:space="preserve">Voz educadora en cada respuesta, con botón para escuchar y volver a escuchar</w:t>
            </w:r>
          </w:p>
        </w:tc>
        <w:tc>
          <w:tcPr/>
          <w:p>
            <w:pPr>
              <w:pStyle w:val="Compact"/>
            </w:pPr>
            <w:r>
              <w:t xml:space="preserve">Ya funciona</w:t>
            </w:r>
          </w:p>
        </w:tc>
      </w:tr>
      <w:tr>
        <w:tc>
          <w:tcPr/>
          <w:p>
            <w:pPr>
              <w:pStyle w:val="Compact"/>
            </w:pPr>
            <w:r>
              <w:t xml:space="preserve">Infografías y tablas de gramática</w:t>
            </w:r>
          </w:p>
        </w:tc>
        <w:tc>
          <w:tcPr/>
          <w:p>
            <w:pPr>
              <w:pStyle w:val="Compact"/>
            </w:pPr>
            <w:r>
              <w:t xml:space="preserve">Resumen visual de la estructura del día (por ejemplo, la tabla del presente simple)</w:t>
            </w:r>
          </w:p>
        </w:tc>
        <w:tc>
          <w:tcPr/>
          <w:p>
            <w:pPr>
              <w:pStyle w:val="Compact"/>
            </w:pPr>
            <w:r>
              <w:t xml:space="preserve">En construcción (semanas 2-3)</w:t>
            </w:r>
          </w:p>
        </w:tc>
      </w:tr>
      <w:tr>
        <w:tc>
          <w:tcPr/>
          <w:p>
            <w:pPr>
              <w:pStyle w:val="Compact"/>
            </w:pPr>
            <w:r>
              <w:t xml:space="preserve">Texto simplificado y ejemplos modelo</w:t>
            </w:r>
          </w:p>
        </w:tc>
        <w:tc>
          <w:tcPr/>
          <w:p>
            <w:pPr>
              <w:pStyle w:val="Compact"/>
            </w:pPr>
            <w:r>
              <w:t xml:space="preserve">El mismo contenido en dos grados de dificultad</w:t>
            </w:r>
          </w:p>
        </w:tc>
        <w:tc>
          <w:tcPr/>
          <w:p>
            <w:pPr>
              <w:pStyle w:val="Compact"/>
            </w:pPr>
            <w:r>
              <w:t xml:space="preserve">Ya funciona</w:t>
            </w:r>
          </w:p>
        </w:tc>
      </w:tr>
      <w:tr>
        <w:tc>
          <w:tcPr/>
          <w:p>
            <w:pPr>
              <w:pStyle w:val="Compact"/>
            </w:pPr>
            <w:r>
              <w:t xml:space="preserve">Tarjetas de repaso</w:t>
            </w:r>
          </w:p>
        </w:tc>
        <w:tc>
          <w:tcPr/>
          <w:p>
            <w:pPr>
              <w:pStyle w:val="Compact"/>
            </w:pPr>
            <w:r>
              <w:t xml:space="preserve">Tarjetas de vocabulario y de los errores propios del alumno, para repasar</w:t>
            </w:r>
          </w:p>
        </w:tc>
        <w:tc>
          <w:tcPr/>
          <w:p>
            <w:pPr>
              <w:pStyle w:val="Compact"/>
            </w:pPr>
            <w:r>
              <w:t xml:space="preserve">En construcción (semana 3)</w:t>
            </w:r>
          </w:p>
        </w:tc>
      </w:tr>
      <w:tr>
        <w:tc>
          <w:tcPr/>
          <w:p>
            <w:pPr>
              <w:pStyle w:val="Compact"/>
            </w:pPr>
            <w:r>
              <w:t xml:space="preserve">Micrófono para practicar hablando</w:t>
            </w:r>
          </w:p>
        </w:tc>
        <w:tc>
          <w:tcPr/>
          <w:p>
            <w:pPr>
              <w:pStyle w:val="Compact"/>
            </w:pPr>
            <w:r>
              <w:t xml:space="preserve">El alumno lee la frase en voz alta dentro del chat</w:t>
            </w:r>
          </w:p>
        </w:tc>
        <w:tc>
          <w:tcPr/>
          <w:p>
            <w:pPr>
              <w:pStyle w:val="Compact"/>
            </w:pPr>
            <w:r>
              <w:t xml:space="preserve">Ya funciona</w:t>
            </w:r>
          </w:p>
        </w:tc>
      </w:tr>
    </w:tbl>
    <w:p>
      <w:pPr>
        <w:pStyle w:val="BodyText"/>
      </w:pPr>
      <w:r>
        <w:rPr>
          <w:b/>
          <w:bCs/>
        </w:rPr>
        <w:t xml:space="preserve">Respuesta a</w:t>
      </w:r>
      <w:r>
        <w:rPr>
          <w:b/>
          <w:bCs/>
        </w:rPr>
        <w:t xml:space="preserve"> </w:t>
      </w:r>
      <w:r>
        <w:rPr>
          <w:b/>
          <w:bCs/>
        </w:rPr>
        <w:t xml:space="preserve">“la herramienta no puede generar la imagen cuando se le pide”</w:t>
      </w:r>
      <w:r>
        <w:rPr>
          <w:b/>
          <w:bCs/>
        </w:rPr>
        <w:t xml:space="preserve">.</w:t>
      </w:r>
      <w:r>
        <w:t xml:space="preserve"> </w:t>
      </w:r>
      <w:r>
        <w:t xml:space="preserve">Era cierto: la versión probada solo devolvía texto. El nuevo motor pide la lámina y el chat la muestra. Para ampliar el banco visual unidad por unidad, las láminas se generan por lote y se guardan en el servidor del colegio: una lámina sirve a todos los alumnos y cada lámina se genera una sola vez y sirve a todos los alumnos del colegio.</w:t>
      </w:r>
    </w:p>
    <w:p>
      <w:r>
        <w:pict>
          <v:rect style="width:0;height:1.5pt" o:hralign="center" o:hrstd="t" o:hr="t"/>
        </w:pict>
      </w:r>
    </w:p>
    <w:bookmarkEnd w:id="17"/>
    <w:bookmarkStart w:id="18" w:name="X7c67af6b1d0cdffaca9b55b9c271501cfde4e69"/>
    <w:p>
      <w:pPr>
        <w:pStyle w:val="Heading3"/>
      </w:pPr>
      <w:r>
        <w:t xml:space="preserve">6. Corrección lingüística y pronunciación (observación 4)</w:t>
      </w:r>
    </w:p>
    <w:p>
      <w:pPr>
        <w:pStyle w:val="FirstParagraph"/>
      </w:pPr>
      <w:r>
        <w:rPr>
          <w:b/>
          <w:bCs/>
        </w:rPr>
        <w:t xml:space="preserve">Lo que estaba mal.</w:t>
      </w:r>
      <w:r>
        <w:t xml:space="preserve"> </w:t>
      </w:r>
      <w:r>
        <w:t xml:space="preserve">En la prueba del 15-09 el tutor respondió</w:t>
      </w:r>
      <w:r>
        <w:t xml:space="preserve"> </w:t>
      </w:r>
      <w:r>
        <w:rPr>
          <w:rStyle w:val="VerbatimChar"/>
        </w:rPr>
        <w:t xml:space="preserve">thought → /zot/</w:t>
      </w:r>
      <w:r>
        <w:t xml:space="preserve">: usaba ortografía castellana para la pronunciación en inglés. Para un alumno que toma la herramienta como referencia, eso es enseñar un error. Se elimina por completo.</w:t>
      </w:r>
    </w:p>
    <w:p>
      <w:pPr>
        <w:pStyle w:val="BodyText"/>
      </w:pPr>
      <w:r>
        <w:rPr>
          <w:b/>
          <w:bCs/>
        </w:rPr>
        <w:t xml:space="preserve">Lo que se hace ahora.</w:t>
      </w:r>
    </w:p>
    <w:p>
      <w:pPr>
        <w:pStyle w:val="Compact"/>
        <w:numPr>
          <w:ilvl w:val="0"/>
          <w:numId w:val="1004"/>
        </w:numPr>
      </w:pPr>
      <w:r>
        <w:rPr>
          <w:b/>
          <w:bCs/>
        </w:rPr>
        <w:t xml:space="preserve">Alfabeto fonético (IPA) y audio</w:t>
      </w:r>
      <w:r>
        <w:t xml:space="preserve">, nunca aproximaciones en español:</w:t>
      </w:r>
      <w:r>
        <w:t xml:space="preserve"> </w:t>
      </w:r>
      <w:r>
        <w:rPr>
          <w:rStyle w:val="VerbatimChar"/>
        </w:rPr>
        <w:t xml:space="preserve">/θɔːt/</w:t>
      </w:r>
      <w:r>
        <w:t xml:space="preserve"> </w:t>
      </w:r>
      <w:r>
        <w:t xml:space="preserve">y el botón de audio. Además, el tutor avisa de los pares que cambian el significado (</w:t>
      </w:r>
      <w:r>
        <w:rPr>
          <w:rStyle w:val="VerbatimChar"/>
        </w:rPr>
        <w:t xml:space="preserve">ship/sheep</w:t>
      </w:r>
      <w:r>
        <w:t xml:space="preserve">,</w:t>
      </w:r>
      <w:r>
        <w:t xml:space="preserve"> </w:t>
      </w:r>
      <w:r>
        <w:rPr>
          <w:rStyle w:val="VerbatimChar"/>
        </w:rPr>
        <w:t xml:space="preserve">three/tree</w:t>
      </w:r>
      <w:r>
        <w:t xml:space="preserve">,</w:t>
      </w:r>
      <w:r>
        <w:t xml:space="preserve"> </w:t>
      </w:r>
      <w:r>
        <w:rPr>
          <w:rStyle w:val="VerbatimChar"/>
        </w:rPr>
        <w:t xml:space="preserve">live/leave</w:t>
      </w:r>
      <w:r>
        <w:t xml:space="preserve">).</w:t>
      </w:r>
    </w:p>
    <w:p>
      <w:pPr>
        <w:pStyle w:val="Compact"/>
        <w:numPr>
          <w:ilvl w:val="0"/>
          <w:numId w:val="1004"/>
        </w:numPr>
      </w:pPr>
      <w:r>
        <w:rPr>
          <w:b/>
          <w:bCs/>
        </w:rPr>
        <w:t xml:space="preserve">Corrección tipificada y en orden:</w:t>
      </w:r>
      <w:r>
        <w:t xml:space="preserve"> </w:t>
      </w:r>
      <w:r>
        <w:t xml:space="preserve">reconocer algo concreto y verdadero, señalar el error, dar la regla en una frase, mostrar el modelo correcto y pedir al alumno que lo diga otra vez él mismo. Máximo dos correcciones por mensaje, priorizando las que rompen el significado.</w:t>
      </w:r>
    </w:p>
    <w:p>
      <w:pPr>
        <w:pStyle w:val="Compact"/>
        <w:numPr>
          <w:ilvl w:val="0"/>
          <w:numId w:val="1004"/>
        </w:numPr>
      </w:pPr>
      <w:r>
        <w:rPr>
          <w:b/>
          <w:bCs/>
        </w:rPr>
        <w:t xml:space="preserve">Registro de errores recurrentes:</w:t>
      </w:r>
      <w:r>
        <w:t xml:space="preserve"> </w:t>
      </w:r>
      <w:r>
        <w:t xml:space="preserve">cuando el error se repite, el tutor lo nombra (</w:t>
      </w:r>
      <w:r>
        <w:t xml:space="preserve">“otra vez el mismo: la -s de he/she/it”</w:t>
      </w:r>
      <w:r>
        <w:t xml:space="preserve">) y lo refuerza cuando el alumno lo corrige. Este registro alimenta las tarjetas de repaso y el reporte del docente.</w:t>
      </w:r>
    </w:p>
    <w:p>
      <w:pPr>
        <w:pStyle w:val="Compact"/>
        <w:numPr>
          <w:ilvl w:val="0"/>
          <w:numId w:val="1004"/>
        </w:numPr>
      </w:pPr>
      <w:r>
        <w:rPr>
          <w:b/>
          <w:bCs/>
        </w:rPr>
        <w:t xml:space="preserve">Evaluación real de la pronunciación.</w:t>
      </w:r>
      <w:r>
        <w:t xml:space="preserve"> </w:t>
      </w:r>
      <w:r>
        <w:t xml:space="preserve">Se incorpora un motor de evaluación del habla que puntúa precisión, fluidez y completitud</w:t>
      </w:r>
      <w:r>
        <w:t xml:space="preserve"> </w:t>
      </w:r>
      <w:r>
        <w:rPr>
          <w:b/>
          <w:bCs/>
        </w:rPr>
        <w:t xml:space="preserve">por fonema y por sílaba</w:t>
      </w:r>
      <w:r>
        <w:t xml:space="preserve"> </w:t>
      </w:r>
      <w:r>
        <w:t xml:space="preserve">sobre la frase del libro, y devuelve al alumno los dos o tres sonidos que debe trabajar, con la posición de la boca y el sonido correcto. Es la misma familia de tecnología que usan las plataformas internacionales de evaluación de pronunciación, y su costo por alumno es una fracción de sol al mes.</w:t>
      </w:r>
    </w:p>
    <w:p>
      <w:pPr>
        <w:pStyle w:val="FirstParagraph"/>
      </w:pPr>
      <w:r>
        <w:rPr>
          <w:b/>
          <w:bCs/>
        </w:rPr>
        <w:t xml:space="preserve">Sobre el orden de la corrección.</w:t>
      </w:r>
      <w:r>
        <w:t xml:space="preserve"> </w:t>
      </w:r>
      <w:r>
        <w:t xml:space="preserve">La investigación en adquisición de segundas lenguas coincide en que no cualquier corrección sirve: las que obligan al alumno a reparar su propia frase (y la corrección explícita con regla, sobre todo en niveles iniciales) rinden más que la simple repetición del modelo correcto. Por eso el tutor no se limita a reescribir la frase del alumno: le explica la regla y le pide que lo intente de nuevo.</w:t>
      </w:r>
    </w:p>
    <w:p>
      <w:pPr>
        <w:pStyle w:val="BodyText"/>
      </w:pPr>
      <w:r>
        <w:rPr>
          <w:b/>
          <w:bCs/>
        </w:rPr>
        <w:t xml:space="preserve">Honestidad sobre la herramienta.</w:t>
      </w:r>
      <w:r>
        <w:t xml:space="preserve"> </w:t>
      </w:r>
      <w:r>
        <w:t xml:space="preserve">El tutor no afirma que un alumno pronuncia bien si no ha escuchado el audio: cuando corresponde, pide que lea en voz alta y usa el micrófono. No se presenta como un evaluador humano; prepara y practica, y la valoración final es del docente.</w:t>
      </w:r>
    </w:p>
    <w:p>
      <w:r>
        <w:pict>
          <v:rect style="width:0;height:1.5pt" o:hralign="center" o:hrstd="t" o:hr="t"/>
        </w:pict>
      </w:r>
    </w:p>
    <w:bookmarkEnd w:id="18"/>
    <w:bookmarkStart w:id="19" w:name="X5379305edc84a1d8fa2aa29d3fd5d08b04fc2ad"/>
    <w:p>
      <w:pPr>
        <w:pStyle w:val="Heading3"/>
      </w:pPr>
      <w:r>
        <w:t xml:space="preserve">7. Evaluación del aprendizaje (observaciones 5 y 6)</w:t>
      </w:r>
    </w:p>
    <w:p>
      <w:pPr>
        <w:pStyle w:val="FirstParagraph"/>
      </w:pPr>
      <w:r>
        <w:t xml:space="preserve">El sistema de evaluación se diseñó con la lógica de la</w:t>
      </w:r>
      <w:r>
        <w:t xml:space="preserve"> </w:t>
      </w:r>
      <w:r>
        <w:rPr>
          <w:b/>
          <w:bCs/>
        </w:rPr>
        <w:t xml:space="preserve">evaluación formativa</w:t>
      </w:r>
      <w:r>
        <w:t xml:space="preserve"> </w:t>
      </w:r>
      <w:r>
        <w:t xml:space="preserve">y de la</w:t>
      </w:r>
      <w:r>
        <w:t xml:space="preserve"> </w:t>
      </w:r>
      <w:r>
        <w:rPr>
          <w:b/>
          <w:bCs/>
        </w:rPr>
        <w:t xml:space="preserve">evaluación orientada al aprendizaje</w:t>
      </w:r>
      <w:r>
        <w:t xml:space="preserve">: la evaluación no es solo la nota final, es información que se usa para enseñar mejor. En concreto:</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Instrumento</w:t>
            </w:r>
          </w:p>
        </w:tc>
        <w:tc>
          <w:tcPr/>
          <w:p>
            <w:pPr>
              <w:pStyle w:val="Compact"/>
            </w:pPr>
            <w:r>
              <w:t xml:space="preserve">Cuándo</w:t>
            </w:r>
          </w:p>
        </w:tc>
        <w:tc>
          <w:tcPr/>
          <w:p>
            <w:pPr>
              <w:pStyle w:val="Compact"/>
            </w:pPr>
            <w:r>
              <w:t xml:space="preserve">Qué entrega</w:t>
            </w:r>
          </w:p>
        </w:tc>
      </w:tr>
      <w:tr>
        <w:tc>
          <w:tcPr/>
          <w:p>
            <w:pPr>
              <w:pStyle w:val="Compact"/>
            </w:pPr>
            <w:r>
              <w:t xml:space="preserve">Prueba de nivel (placement)</w:t>
            </w:r>
          </w:p>
        </w:tc>
        <w:tc>
          <w:tcPr/>
          <w:p>
            <w:pPr>
              <w:pStyle w:val="Compact"/>
            </w:pPr>
            <w:r>
              <w:t xml:space="preserve">Al inicio</w:t>
            </w:r>
          </w:p>
        </w:tc>
        <w:tc>
          <w:tcPr/>
          <w:p>
            <w:pPr>
              <w:pStyle w:val="Compact"/>
            </w:pPr>
            <w:r>
              <w:t xml:space="preserve">Nivel Cambridge y estimación MCER del alumno</w:t>
            </w:r>
          </w:p>
        </w:tc>
      </w:tr>
      <w:tr>
        <w:tc>
          <w:tcPr/>
          <w:p>
            <w:pPr>
              <w:pStyle w:val="Compact"/>
            </w:pPr>
            <w:r>
              <w:t xml:space="preserve">Autoevaluación can-do</w:t>
            </w:r>
          </w:p>
        </w:tc>
        <w:tc>
          <w:tcPr/>
          <w:p>
            <w:pPr>
              <w:pStyle w:val="Compact"/>
            </w:pPr>
            <w:r>
              <w:t xml:space="preserve">Al cierre de cada sesión</w:t>
            </w:r>
          </w:p>
        </w:tc>
        <w:tc>
          <w:tcPr/>
          <w:p>
            <w:pPr>
              <w:pStyle w:val="Compact"/>
            </w:pPr>
            <w:r>
              <w:t xml:space="preserve">“Sí / Casi / Todavía no”</w:t>
            </w:r>
            <w:r>
              <w:t xml:space="preserve"> </w:t>
            </w:r>
            <w:r>
              <w:t xml:space="preserve">por objetivo</w:t>
            </w:r>
          </w:p>
        </w:tc>
      </w:tr>
      <w:tr>
        <w:tc>
          <w:tcPr/>
          <w:p>
            <w:pPr>
              <w:pStyle w:val="Compact"/>
            </w:pPr>
            <w:r>
              <w:t xml:space="preserve">Punto de control por unidad</w:t>
            </w:r>
          </w:p>
        </w:tc>
        <w:tc>
          <w:tcPr/>
          <w:p>
            <w:pPr>
              <w:pStyle w:val="Compact"/>
            </w:pPr>
            <w:r>
              <w:t xml:space="preserve">Cada 4-6 sesiones</w:t>
            </w:r>
          </w:p>
        </w:tc>
        <w:tc>
          <w:tcPr/>
          <w:p>
            <w:pPr>
              <w:pStyle w:val="Compact"/>
            </w:pPr>
            <w:r>
              <w:t xml:space="preserve">Dominio de los objetivos de la unidad</w:t>
            </w:r>
          </w:p>
        </w:tc>
      </w:tr>
      <w:tr>
        <w:tc>
          <w:tcPr/>
          <w:p>
            <w:pPr>
              <w:pStyle w:val="Compact"/>
            </w:pPr>
            <w:r>
              <w:t xml:space="preserve">Simulacro Cambridge por nivel</w:t>
            </w:r>
          </w:p>
        </w:tc>
        <w:tc>
          <w:tcPr/>
          <w:p>
            <w:pPr>
              <w:pStyle w:val="Compact"/>
            </w:pPr>
            <w:r>
              <w:t xml:space="preserve">Antes del examen del centro</w:t>
            </w:r>
          </w:p>
        </w:tc>
        <w:tc>
          <w:tcPr/>
          <w:p>
            <w:pPr>
              <w:pStyle w:val="Compact"/>
            </w:pPr>
            <w:r>
              <w:t xml:space="preserve">Familiaridad con el formato real (Starters a B2 First)</w:t>
            </w:r>
          </w:p>
        </w:tc>
      </w:tr>
      <w:tr>
        <w:tc>
          <w:tcPr/>
          <w:p>
            <w:pPr>
              <w:pStyle w:val="Compact"/>
            </w:pPr>
            <w:r>
              <w:t xml:space="preserve">Prueba de salida (post)</w:t>
            </w:r>
          </w:p>
        </w:tc>
        <w:tc>
          <w:tcPr/>
          <w:p>
            <w:pPr>
              <w:pStyle w:val="Compact"/>
            </w:pPr>
            <w:r>
              <w:t xml:space="preserve">Al final del piloto</w:t>
            </w:r>
          </w:p>
        </w:tc>
        <w:tc>
          <w:tcPr/>
          <w:p>
            <w:pPr>
              <w:pStyle w:val="Compact"/>
            </w:pPr>
            <w:r>
              <w:t xml:space="preserve">Comparación con la línea base: progreso medible</w:t>
            </w:r>
          </w:p>
        </w:tc>
      </w:tr>
      <w:tr>
        <w:tc>
          <w:tcPr/>
          <w:p>
            <w:pPr>
              <w:pStyle w:val="Compact"/>
            </w:pPr>
            <w:r>
              <w:t xml:space="preserve">Rúbrica de expresión oral</w:t>
            </w:r>
          </w:p>
        </w:tc>
        <w:tc>
          <w:tcPr/>
          <w:p>
            <w:pPr>
              <w:pStyle w:val="Compact"/>
            </w:pPr>
            <w:r>
              <w:t xml:space="preserve">Cada 2-3 semanas</w:t>
            </w:r>
          </w:p>
        </w:tc>
        <w:tc>
          <w:tcPr/>
          <w:p>
            <w:pPr>
              <w:pStyle w:val="Compact"/>
            </w:pPr>
            <w:r>
              <w:t xml:space="preserve">Pronunciación por fonema, fluidez y vocabulario</w:t>
            </w:r>
          </w:p>
        </w:tc>
      </w:tr>
    </w:tbl>
    <w:p>
      <w:pPr>
        <w:pStyle w:val="BodyText"/>
      </w:pPr>
      <w:r>
        <w:rPr>
          <w:b/>
          <w:bCs/>
        </w:rPr>
        <w:t xml:space="preserve">El reporte para el docente y para la Dirección.</w:t>
      </w:r>
      <w:r>
        <w:t xml:space="preserve"> </w:t>
      </w:r>
      <w:r>
        <w:t xml:space="preserve">El mismo estándar que usan las plataformas de referencia: nivel MCER estimado</w:t>
      </w:r>
      <w:r>
        <w:t xml:space="preserve"> </w:t>
      </w:r>
      <w:r>
        <w:rPr>
          <w:b/>
          <w:bCs/>
        </w:rPr>
        <w:t xml:space="preserve">global y por habilidad</w:t>
      </w:r>
      <w:r>
        <w:t xml:space="preserve">, tiempo de práctica, actividades completadas, errores recurrentes y evidencia de cada sesión, exportable a hoja de cálculo. La calificación la decide el docente: el sistema entrega información y conclusiones descriptivas, en línea con la norma peruana de evaluación por competencias (R.V.M. N.° 094-2020-MINEDU).</w:t>
      </w:r>
    </w:p>
    <w:p>
      <w:pPr>
        <w:pStyle w:val="BodyText"/>
      </w:pPr>
      <w:r>
        <w:rPr>
          <w:b/>
          <w:bCs/>
        </w:rPr>
        <w:t xml:space="preserve">Prueba técnica del registro.</w:t>
      </w:r>
      <w:r>
        <w:t xml:space="preserve"> </w:t>
      </w:r>
      <w:r>
        <w:t xml:space="preserve">En la prueba del 15-09 el prototipo cerró la sesión con este registro real, generado automáticamente:</w:t>
      </w:r>
    </w:p>
    <w:p>
      <w:pPr>
        <w:pStyle w:val="SourceCode"/>
      </w:pPr>
      <w:r>
        <w:rPr>
          <w:rStyle w:val="VerbatimChar"/>
        </w:rPr>
        <w:t xml:space="preserve">nivel: Pre-A1 · objetivo: "I can name 3 animals and their sounds"</w:t>
      </w:r>
      <w:r>
        <w:br/>
      </w:r>
      <w:r>
        <w:rPr>
          <w:rStyle w:val="VerbatimChar"/>
        </w:rPr>
        <w:t xml:space="preserve">fases completadas: 3 · errores: falta la -s en tercera persona (the dog say)</w:t>
      </w:r>
      <w:r>
        <w:br/>
      </w:r>
      <w:r>
        <w:rPr>
          <w:rStyle w:val="VerbatimChar"/>
        </w:rPr>
        <w:t xml:space="preserve">autoevaluación: casi · practicar: "the dog says / the cow says"</w:t>
      </w:r>
    </w:p>
    <w:p>
      <w:pPr>
        <w:pStyle w:val="FirstParagraph"/>
      </w:pPr>
      <w:r>
        <w:t xml:space="preserve">Eso es, en una línea, la respuesta a la pregunta</w:t>
      </w:r>
      <w:r>
        <w:t xml:space="preserve"> </w:t>
      </w:r>
      <w:r>
        <w:t xml:space="preserve">“¿qué está aprendiendo, cómo progresa y qué necesita mejorar?”</w:t>
      </w:r>
      <w:r>
        <w:t xml:space="preserve">. El detalle completo va al reporte del docente, no al alumno.</w:t>
      </w:r>
    </w:p>
    <w:p>
      <w:r>
        <w:pict>
          <v:rect style="width:0;height:1.5pt" o:hralign="center" o:hrstd="t" o:hr="t"/>
        </w:pict>
      </w:r>
    </w:p>
    <w:bookmarkEnd w:id="19"/>
    <w:bookmarkStart w:id="20" w:name="límites-que-reconocemos"/>
    <w:p>
      <w:pPr>
        <w:pStyle w:val="Heading3"/>
      </w:pPr>
      <w:r>
        <w:t xml:space="preserve">8. Límites que reconocemos</w:t>
      </w:r>
    </w:p>
    <w:p>
      <w:pPr>
        <w:pStyle w:val="FirstParagraph"/>
      </w:pPr>
      <w:r>
        <w:t xml:space="preserve">Un tutor con IA no reemplaza a un profesor de inglés y no lo presentamos como tal. La evidencia publicada es moderada y desigual: los estudios de conjunto reportan mejoras de tamaño medio, con mucha variación entre grupos y contextos, y los propios autores advierten que los resultados en segundas lenguas son todavía heterogéneos. Los reconocedores de habla tienen tasas de error apreciables con habla espontánea, y los correctores automáticos todavía producen</w:t>
      </w:r>
      <w:r>
        <w:t xml:space="preserve"> </w:t>
      </w:r>
      <w:r>
        <w:t xml:space="preserve">“falsas alarmas”</w:t>
      </w:r>
      <w:r>
        <w:t xml:space="preserve"> </w:t>
      </w:r>
      <w:r>
        <w:t xml:space="preserve">que no corresponden a un error real. La UNESCO recomienda que la IA generativa en el aula se use con supervisión docente y regulación, y fija los 13 años como umbral de referencia.</w:t>
      </w:r>
    </w:p>
    <w:p>
      <w:pPr>
        <w:pStyle w:val="BodyText"/>
      </w:pPr>
      <w:r>
        <w:t xml:space="preserve">Por eso el diseño tiene tres límites deliberados:</w:t>
      </w:r>
    </w:p>
    <w:p>
      <w:pPr>
        <w:pStyle w:val="Compact"/>
        <w:numPr>
          <w:ilvl w:val="0"/>
          <w:numId w:val="1005"/>
        </w:numPr>
      </w:pPr>
      <w:r>
        <w:rPr>
          <w:b/>
          <w:bCs/>
        </w:rPr>
        <w:t xml:space="preserve">No sustituye la clase:</w:t>
      </w:r>
      <w:r>
        <w:t xml:space="preserve"> </w:t>
      </w:r>
      <w:r>
        <w:t xml:space="preserve">prepara, practica y da información al docente; la calificación y la decisión pedagógica son del profesor.</w:t>
      </w:r>
    </w:p>
    <w:p>
      <w:pPr>
        <w:pStyle w:val="Compact"/>
        <w:numPr>
          <w:ilvl w:val="0"/>
          <w:numId w:val="1005"/>
        </w:numPr>
      </w:pPr>
      <w:r>
        <w:rPr>
          <w:b/>
          <w:bCs/>
        </w:rPr>
        <w:t xml:space="preserve">No se usa sin un adulto responsable del curso</w:t>
      </w:r>
      <w:r>
        <w:t xml:space="preserve">, y el acceso de los alumnos menores es por código institucional.</w:t>
      </w:r>
    </w:p>
    <w:p>
      <w:pPr>
        <w:pStyle w:val="Compact"/>
        <w:numPr>
          <w:ilvl w:val="0"/>
          <w:numId w:val="1005"/>
        </w:numPr>
      </w:pPr>
      <w:r>
        <w:rPr>
          <w:b/>
          <w:bCs/>
        </w:rPr>
        <w:t xml:space="preserve">No se vende como milagro:</w:t>
      </w:r>
      <w:r>
        <w:t xml:space="preserve"> </w:t>
      </w:r>
      <w:r>
        <w:t xml:space="preserve">los criterios de éxito del piloto los define el colegio y se miden con prueba de entrada y de salida.</w:t>
      </w:r>
    </w:p>
    <w:p>
      <w:pPr>
        <w:pStyle w:val="FirstParagraph"/>
      </w:pPr>
      <w:r>
        <w:t xml:space="preserve">Preferimos decir esto nosotros antes de que lo diga un auditor.</w:t>
      </w:r>
    </w:p>
    <w:p>
      <w:r>
        <w:pict>
          <v:rect style="width:0;height:1.5pt" o:hralign="center" o:hrstd="t" o:hr="t"/>
        </w:pict>
      </w:r>
    </w:p>
    <w:bookmarkEnd w:id="20"/>
    <w:bookmarkStart w:id="21" w:name="X615ac269b5458c2cb3d5d1bfc2b9d7813b1e9e5"/>
    <w:p>
      <w:pPr>
        <w:pStyle w:val="Heading3"/>
      </w:pPr>
      <w:r>
        <w:t xml:space="preserve">9. Qué pedimos: piloto de 90 días, costo cero para el colegio</w:t>
      </w:r>
    </w:p>
    <w:p>
      <w:pPr>
        <w:pStyle w:val="FirstParagraph"/>
      </w:pPr>
      <w:r>
        <w:rPr>
          <w:b/>
          <w:bCs/>
        </w:rPr>
        <w:t xml:space="preserve">Lo que pedimos</w:t>
      </w:r>
      <w:r>
        <w:t xml:space="preserve"> </w:t>
      </w:r>
      <w:r>
        <w:t xml:space="preserve">1. Una reunión de 30 minutos con la Dirección Académica y el equipo de inglés (podemos hacerla con el sistema en pantalla, no con diapositivas).</w:t>
      </w:r>
      <w:r>
        <w:t xml:space="preserve"> </w:t>
      </w:r>
      <w:r>
        <w:t xml:space="preserve">2. Una sección del colegio (30-40 alumnos) y un docente responsable del acompañamiento.</w:t>
      </w:r>
      <w:r>
        <w:t xml:space="preserve"> </w:t>
      </w:r>
      <w:r>
        <w:t xml:space="preserve">3. Los criterios de éxito los proponen ustedes. Nuestros tres indicadores son: (a) progreso en la prueba de salida respecto de la de entrada, (b) porcentaje de objetivos can-do logrados por sesión, (c) reducción de los errores recurrentes registrados.</w:t>
      </w:r>
      <w:r>
        <w:t xml:space="preserve"> </w:t>
      </w:r>
      <w:r>
        <w:t xml:space="preserve">4. Un breve consentimiento informado para las familias (el sistema solo guarda el código del alumno y su actividad de práctica).</w:t>
      </w:r>
    </w:p>
    <w:p>
      <w:pPr>
        <w:pStyle w:val="BodyText"/>
      </w:pPr>
      <w:r>
        <w:rPr>
          <w:b/>
          <w:bCs/>
        </w:rPr>
        <w:t xml:space="preserve">Lo que entrega el piloto</w:t>
      </w:r>
      <w:r>
        <w:t xml:space="preserve"> </w:t>
      </w:r>
      <w:r>
        <w:t xml:space="preserve">- Resultados con datos, no impresiones: informe de entrada y salida por alumno y por clase.</w:t>
      </w:r>
      <w:r>
        <w:t xml:space="preserve"> </w:t>
      </w:r>
      <w:r>
        <w:t xml:space="preserve">- Capacitación de una hora para el docente responsable (cómo leer el reporte y cómo usarlo en clase).</w:t>
      </w:r>
      <w:r>
        <w:t xml:space="preserve"> </w:t>
      </w:r>
      <w:r>
        <w:t xml:space="preserve">- Sin costo para el colegio durante el piloto; si al colegio le sirve, recién entonces conversamos el modelo (para los alumnos que lo deseen, el plan del Centro es de S/ 4,90 al mes).</w:t>
      </w:r>
    </w:p>
    <w:p>
      <w:pPr>
        <w:pStyle w:val="BodyText"/>
      </w:pPr>
      <w:r>
        <w:rPr>
          <w:b/>
          <w:bCs/>
        </w:rPr>
        <w:t xml:space="preserve">Cronograma de construcción (6 semanas) y piloto</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Semana</w:t>
            </w:r>
          </w:p>
        </w:tc>
        <w:tc>
          <w:tcPr/>
          <w:p>
            <w:pPr>
              <w:pStyle w:val="Compact"/>
            </w:pPr>
            <w:r>
              <w:t xml:space="preserve">Entregable</w:t>
            </w:r>
          </w:p>
        </w:tc>
      </w:tr>
      <w:tr>
        <w:tc>
          <w:tcPr/>
          <w:p>
            <w:pPr>
              <w:pStyle w:val="Compact"/>
            </w:pPr>
            <w:r>
              <w:t xml:space="preserve">1</w:t>
            </w:r>
          </w:p>
        </w:tc>
        <w:tc>
          <w:tcPr/>
          <w:p>
            <w:pPr>
              <w:pStyle w:val="Compact"/>
            </w:pPr>
            <w:r>
              <w:t xml:space="preserve">Ruta de aprendizaje y nivelación (placement) con el libro del colegio</w:t>
            </w:r>
          </w:p>
        </w:tc>
      </w:tr>
      <w:tr>
        <w:tc>
          <w:tcPr/>
          <w:p>
            <w:pPr>
              <w:pStyle w:val="Compact"/>
            </w:pPr>
            <w:r>
              <w:t xml:space="preserve">2</w:t>
            </w:r>
          </w:p>
        </w:tc>
        <w:tc>
          <w:tcPr/>
          <w:p>
            <w:pPr>
              <w:pStyle w:val="Compact"/>
            </w:pPr>
            <w:r>
              <w:t xml:space="preserve">Sesión de 5 fases, reglas de idioma y corrección tipificada</w:t>
            </w:r>
          </w:p>
        </w:tc>
      </w:tr>
      <w:tr>
        <w:tc>
          <w:tcPr/>
          <w:p>
            <w:pPr>
              <w:pStyle w:val="Compact"/>
            </w:pPr>
            <w:r>
              <w:t xml:space="preserve">3</w:t>
            </w:r>
          </w:p>
        </w:tc>
        <w:tc>
          <w:tcPr/>
          <w:p>
            <w:pPr>
              <w:pStyle w:val="Compact"/>
            </w:pPr>
            <w:r>
              <w:t xml:space="preserve">Andamiaje visual: láminas, infografías y tarjetas de repaso</w:t>
            </w:r>
          </w:p>
        </w:tc>
      </w:tr>
      <w:tr>
        <w:tc>
          <w:tcPr/>
          <w:p>
            <w:pPr>
              <w:pStyle w:val="Compact"/>
            </w:pPr>
            <w:r>
              <w:t xml:space="preserve">4</w:t>
            </w:r>
          </w:p>
        </w:tc>
        <w:tc>
          <w:tcPr/>
          <w:p>
            <w:pPr>
              <w:pStyle w:val="Compact"/>
            </w:pPr>
            <w:r>
              <w:t xml:space="preserve">Evaluación de pronunciación por fonema y micrófono</w:t>
            </w:r>
          </w:p>
        </w:tc>
      </w:tr>
      <w:tr>
        <w:tc>
          <w:tcPr/>
          <w:p>
            <w:pPr>
              <w:pStyle w:val="Compact"/>
            </w:pPr>
            <w:r>
              <w:t xml:space="preserve">5</w:t>
            </w:r>
          </w:p>
        </w:tc>
        <w:tc>
          <w:tcPr/>
          <w:p>
            <w:pPr>
              <w:pStyle w:val="Compact"/>
            </w:pPr>
            <w:r>
              <w:t xml:space="preserve">Reporte del docente y de la Dirección (nivel MCER por habilidad, exportable)</w:t>
            </w:r>
          </w:p>
        </w:tc>
      </w:tr>
      <w:tr>
        <w:tc>
          <w:tcPr/>
          <w:p>
            <w:pPr>
              <w:pStyle w:val="Compact"/>
            </w:pPr>
            <w:r>
              <w:t xml:space="preserve">6</w:t>
            </w:r>
          </w:p>
        </w:tc>
        <w:tc>
          <w:tcPr/>
          <w:p>
            <w:pPr>
              <w:pStyle w:val="Compact"/>
            </w:pPr>
            <w:r>
              <w:t xml:space="preserve">Validación con el docente del colegio y ajustes</w:t>
            </w:r>
          </w:p>
        </w:tc>
      </w:tr>
      <w:tr>
        <w:tc>
          <w:tcPr/>
          <w:p>
            <w:pPr>
              <w:pStyle w:val="Compact"/>
            </w:pPr>
            <w:r>
              <w:t xml:space="preserve">7-18</w:t>
            </w:r>
          </w:p>
        </w:tc>
        <w:tc>
          <w:tcPr/>
          <w:p>
            <w:pPr>
              <w:pStyle w:val="Compact"/>
            </w:pPr>
            <w:r>
              <w:t xml:space="preserve">Piloto de 90 días con una sección, con prueba de entrada y de salida</w:t>
            </w:r>
          </w:p>
        </w:tc>
      </w:tr>
    </w:tbl>
    <w:p>
      <w:r>
        <w:pict>
          <v:rect style="width:0;height:1.5pt" o:hralign="center" o:hrstd="t" o:hr="t"/>
        </w:pict>
      </w:r>
    </w:p>
    <w:bookmarkEnd w:id="21"/>
    <w:bookmarkStart w:id="22" w:name="cierre"/>
    <w:p>
      <w:pPr>
        <w:pStyle w:val="Heading3"/>
      </w:pPr>
      <w:r>
        <w:t xml:space="preserve">10. Cierre</w:t>
      </w:r>
    </w:p>
    <w:p>
      <w:pPr>
        <w:pStyle w:val="FirstParagraph"/>
      </w:pPr>
      <w:r>
        <w:t xml:space="preserve">La observación con la que cerramos el correo de la Dirección dice que, si en el futuro se desarrolla una versión que no dependa de Telegram, con ruta de aprendizaje explícita, andamiaje, corrección fiable, progresión y evaluación del aprendizaje, el colegio estaría en mejor posición para reevaluarla.</w:t>
      </w:r>
    </w:p>
    <w:p>
      <w:pPr>
        <w:pStyle w:val="BodyText"/>
      </w:pPr>
      <w:r>
        <w:t xml:space="preserve">Esa versión es la que este documento describe:</w:t>
      </w:r>
      <w:r>
        <w:t xml:space="preserve"> </w:t>
      </w:r>
      <w:r>
        <w:rPr>
          <w:b/>
          <w:bCs/>
        </w:rPr>
        <w:t xml:space="preserve">no es un futuro hipotético, es trabajo de seis semanas con una prueba de nivel, una ruta, andamiaje visual, corrección con regla, evaluación de pronunciación y reporte de evidencias.</w:t>
      </w:r>
      <w:r>
        <w:t xml:space="preserve"> </w:t>
      </w:r>
      <w:r>
        <w:t xml:space="preserve">No pedimos que confíen en la promesa: pedimos 30 minutos y una sección para medirla.</w:t>
      </w:r>
    </w:p>
    <w:p>
      <w:pPr>
        <w:pStyle w:val="BodyText"/>
      </w:pPr>
      <w:r>
        <w:t xml:space="preserve">Quedamos a su disposición.</w:t>
      </w:r>
    </w:p>
    <w:p>
      <w:pPr>
        <w:pStyle w:val="BodyText"/>
      </w:pPr>
      <w:r>
        <w:rPr>
          <w:b/>
          <w:bCs/>
        </w:rPr>
        <w:t xml:space="preserve">WS AgencIA — Una división de WaltSuare Group</w:t>
      </w:r>
      <w:r>
        <w:t xml:space="preserve"> </w:t>
      </w:r>
      <w:r>
        <w:t xml:space="preserve">Dirección Académica y Promotoría — Centro de Idiomas Anglo Internacional</w:t>
      </w:r>
    </w:p>
    <w:p>
      <w:r>
        <w:pict>
          <v:rect style="width:0;height:1.5pt" o:hralign="center" o:hrstd="t" o:hr="t"/>
        </w:pict>
      </w:r>
    </w:p>
    <w:bookmarkEnd w:id="22"/>
    <w:bookmarkStart w:id="43" w:name="anexo-a-fuentes-principales-consultadas"/>
    <w:p>
      <w:pPr>
        <w:pStyle w:val="Heading3"/>
      </w:pPr>
      <w:r>
        <w:t xml:space="preserve">Anexo A · Fuentes principales consultadas</w:t>
      </w:r>
    </w:p>
    <w:p>
      <w:pPr>
        <w:pStyle w:val="Compact"/>
        <w:numPr>
          <w:ilvl w:val="0"/>
          <w:numId w:val="1006"/>
        </w:numPr>
      </w:pPr>
      <w:r>
        <w:t xml:space="preserve">MCER y Companion Volume 2020 (Consejo de Europa):</w:t>
      </w:r>
      <w:r>
        <w:t xml:space="preserve"> </w:t>
      </w:r>
      <w:hyperlink r:id="rId23">
        <w:r>
          <w:rPr>
            <w:rStyle w:val="Hyperlink"/>
          </w:rPr>
          <w:t xml:space="preserve">https://rm.coe.int/common-european-frame-work-of-reference-for-languages-learning-teaching/16809ea0d4</w:t>
        </w:r>
      </w:hyperlink>
      <w:r>
        <w:t xml:space="preserve"> </w:t>
      </w:r>
      <w:r>
        <w:t xml:space="preserve">y</w:t>
      </w:r>
      <w:r>
        <w:t xml:space="preserve"> </w:t>
      </w:r>
      <w:hyperlink r:id="rId24">
        <w:r>
          <w:rPr>
            <w:rStyle w:val="Hyperlink"/>
          </w:rPr>
          <w:t xml:space="preserve">https://book.coe.int/en/education-and-modern-languages/8152-common-european-framework-of-reference-for-languages-learning-teaching-assessment-companion-volume.html</w:t>
        </w:r>
      </w:hyperlink>
    </w:p>
    <w:p>
      <w:pPr>
        <w:pStyle w:val="Compact"/>
        <w:numPr>
          <w:ilvl w:val="0"/>
          <w:numId w:val="1006"/>
        </w:numPr>
      </w:pPr>
      <w:r>
        <w:t xml:space="preserve">UDL Guidelines 3.0 (CAST):</w:t>
      </w:r>
      <w:r>
        <w:t xml:space="preserve"> </w:t>
      </w:r>
      <w:hyperlink r:id="rId25">
        <w:r>
          <w:rPr>
            <w:rStyle w:val="Hyperlink"/>
          </w:rPr>
          <w:t xml:space="preserve">https://udlguidelines.cast.org</w:t>
        </w:r>
      </w:hyperlink>
    </w:p>
    <w:p>
      <w:pPr>
        <w:pStyle w:val="Compact"/>
        <w:numPr>
          <w:ilvl w:val="0"/>
          <w:numId w:val="1006"/>
        </w:numPr>
      </w:pPr>
      <w:r>
        <w:t xml:space="preserve">Andamiaje: Wood, Bruner y Ross (1976):</w:t>
      </w:r>
      <w:r>
        <w:t xml:space="preserve"> </w:t>
      </w:r>
      <w:hyperlink r:id="rId26">
        <w:r>
          <w:rPr>
            <w:rStyle w:val="Hyperlink"/>
          </w:rPr>
          <w:t xml:space="preserve">https://doi.org/10.1111/j.1469-7610.1976.tb00381.x</w:t>
        </w:r>
      </w:hyperlink>
      <w:r>
        <w:t xml:space="preserve"> </w:t>
      </w:r>
      <w:r>
        <w:t xml:space="preserve">; zona de desarrollo próximo (Vygotsky, 1978):</w:t>
      </w:r>
      <w:r>
        <w:t xml:space="preserve"> </w:t>
      </w:r>
      <w:hyperlink r:id="rId27">
        <w:r>
          <w:rPr>
            <w:rStyle w:val="Hyperlink"/>
          </w:rPr>
          <w:t xml:space="preserve">https://files.eric.ed.gov/fulltext/EJ1081990.pdf</w:t>
        </w:r>
      </w:hyperlink>
    </w:p>
    <w:p>
      <w:pPr>
        <w:pStyle w:val="Compact"/>
        <w:numPr>
          <w:ilvl w:val="0"/>
          <w:numId w:val="1006"/>
        </w:numPr>
      </w:pPr>
      <w:r>
        <w:t xml:space="preserve">Corrección en segundas lenguas: Lyster y Ranta (1997):</w:t>
      </w:r>
      <w:r>
        <w:t xml:space="preserve"> </w:t>
      </w:r>
      <w:hyperlink r:id="rId28">
        <w:r>
          <w:rPr>
            <w:rStyle w:val="Hyperlink"/>
          </w:rPr>
          <w:t xml:space="preserve">https://doi.org/10.1017/s0272263197001034</w:t>
        </w:r>
      </w:hyperlink>
      <w:r>
        <w:t xml:space="preserve"> </w:t>
      </w:r>
      <w:r>
        <w:t xml:space="preserve">; Li (2010):</w:t>
      </w:r>
      <w:r>
        <w:t xml:space="preserve"> </w:t>
      </w:r>
      <w:hyperlink r:id="rId29">
        <w:r>
          <w:rPr>
            <w:rStyle w:val="Hyperlink"/>
          </w:rPr>
          <w:t xml:space="preserve">https://doi.org/10.1111/j.1467-9922.2010.00561.x</w:t>
        </w:r>
      </w:hyperlink>
      <w:r>
        <w:t xml:space="preserve"> </w:t>
      </w:r>
      <w:r>
        <w:t xml:space="preserve">; Lyster y Saito (2010):</w:t>
      </w:r>
      <w:r>
        <w:t xml:space="preserve"> </w:t>
      </w:r>
      <w:hyperlink r:id="rId30">
        <w:r>
          <w:rPr>
            <w:rStyle w:val="Hyperlink"/>
          </w:rPr>
          <w:t xml:space="preserve">https://doi.org/10.1017/s0272263109990520</w:t>
        </w:r>
      </w:hyperlink>
    </w:p>
    <w:p>
      <w:pPr>
        <w:pStyle w:val="Compact"/>
        <w:numPr>
          <w:ilvl w:val="0"/>
          <w:numId w:val="1006"/>
        </w:numPr>
      </w:pPr>
      <w:r>
        <w:t xml:space="preserve">Evaluación formativa y orientada al aprendizaje: Black y Wiliam (1998):</w:t>
      </w:r>
      <w:r>
        <w:t xml:space="preserve"> </w:t>
      </w:r>
      <w:hyperlink r:id="rId31">
        <w:r>
          <w:rPr>
            <w:rStyle w:val="Hyperlink"/>
          </w:rPr>
          <w:t xml:space="preserve">https://doi.org/10.1080/0969595980050102</w:t>
        </w:r>
      </w:hyperlink>
      <w:r>
        <w:t xml:space="preserve"> </w:t>
      </w:r>
      <w:r>
        <w:t xml:space="preserve">; Cambridge English, Learning-Oriented Assessment:</w:t>
      </w:r>
      <w:r>
        <w:t xml:space="preserve"> </w:t>
      </w:r>
      <w:hyperlink r:id="rId32">
        <w:r>
          <w:rPr>
            <w:rStyle w:val="Hyperlink"/>
          </w:rPr>
          <w:t xml:space="preserve">https://www.cambridgeenglish.org/english-research-group/fitness-for-purpose/loa</w:t>
        </w:r>
      </w:hyperlink>
    </w:p>
    <w:p>
      <w:pPr>
        <w:pStyle w:val="Compact"/>
        <w:numPr>
          <w:ilvl w:val="0"/>
          <w:numId w:val="1006"/>
        </w:numPr>
      </w:pPr>
      <w:r>
        <w:t xml:space="preserve">Eficacia y límites de chatbots de IA para idiomas: Lyu et al. (2024):</w:t>
      </w:r>
      <w:r>
        <w:t xml:space="preserve"> </w:t>
      </w:r>
      <w:hyperlink r:id="rId33">
        <w:r>
          <w:rPr>
            <w:rStyle w:val="Hyperlink"/>
          </w:rPr>
          <w:t xml:space="preserve">https://doi.org/10.1111/ijal.12668</w:t>
        </w:r>
      </w:hyperlink>
      <w:r>
        <w:t xml:space="preserve"> </w:t>
      </w:r>
      <w:r>
        <w:t xml:space="preserve">; Wang et al. (2024):</w:t>
      </w:r>
      <w:r>
        <w:t xml:space="preserve"> </w:t>
      </w:r>
      <w:hyperlink r:id="rId34">
        <w:r>
          <w:rPr>
            <w:rStyle w:val="Hyperlink"/>
          </w:rPr>
          <w:t xml:space="preserve">https://doi.org/10.3102/00346543241255621</w:t>
        </w:r>
      </w:hyperlink>
      <w:r>
        <w:t xml:space="preserve"> </w:t>
      </w:r>
      <w:r>
        <w:t xml:space="preserve">; UNESCO (IA generativa en escuelas):</w:t>
      </w:r>
      <w:r>
        <w:t xml:space="preserve"> </w:t>
      </w:r>
      <w:hyperlink r:id="rId35">
        <w:r>
          <w:rPr>
            <w:rStyle w:val="Hyperlink"/>
          </w:rPr>
          <w:t xml:space="preserve">https://www.unesco.org/en/articles/unesco-governments-must-quickly-regulate-generative-ai-schools</w:t>
        </w:r>
      </w:hyperlink>
    </w:p>
    <w:p>
      <w:pPr>
        <w:pStyle w:val="Compact"/>
        <w:numPr>
          <w:ilvl w:val="0"/>
          <w:numId w:val="1006"/>
        </w:numPr>
      </w:pPr>
      <w:r>
        <w:t xml:space="preserve">Currículo Nacional de la Educación Básica (MINEDU):</w:t>
      </w:r>
      <w:r>
        <w:t xml:space="preserve"> </w:t>
      </w:r>
      <w:hyperlink r:id="rId36">
        <w:r>
          <w:rPr>
            <w:rStyle w:val="Hyperlink"/>
          </w:rPr>
          <w:t xml:space="preserve">https://www.minedu.gob.pe/curriculo/pdf/curriculo-nacional-de-la-educacion-basica.pdf</w:t>
        </w:r>
      </w:hyperlink>
    </w:p>
    <w:p>
      <w:pPr>
        <w:pStyle w:val="Compact"/>
        <w:numPr>
          <w:ilvl w:val="0"/>
          <w:numId w:val="1006"/>
        </w:numPr>
      </w:pPr>
      <w:r>
        <w:t xml:space="preserve">Evaluación por competencias (R.V.M. N.° 094-2020-MINEDU):</w:t>
      </w:r>
      <w:r>
        <w:t xml:space="preserve"> </w:t>
      </w:r>
      <w:hyperlink r:id="rId37">
        <w:r>
          <w:rPr>
            <w:rStyle w:val="Hyperlink"/>
          </w:rPr>
          <w:t xml:space="preserve">https://www.gob.pe/institucion/minedu/normas-legales/541161-094-2020-minedu</w:t>
        </w:r>
      </w:hyperlink>
    </w:p>
    <w:p>
      <w:pPr>
        <w:pStyle w:val="Compact"/>
        <w:numPr>
          <w:ilvl w:val="0"/>
          <w:numId w:val="1006"/>
        </w:numPr>
      </w:pPr>
      <w:r>
        <w:t xml:space="preserve">Ley N.° 32385 (uso de celulares en aulas):</w:t>
      </w:r>
      <w:r>
        <w:t xml:space="preserve"> </w:t>
      </w:r>
      <w:hyperlink r:id="rId38">
        <w:r>
          <w:rPr>
            <w:rStyle w:val="Hyperlink"/>
          </w:rPr>
          <w:t xml:space="preserve">https://www.elperuano.pe/noticia/272493-ley-limita-uso-de-celulares-en-aulas</w:t>
        </w:r>
      </w:hyperlink>
    </w:p>
    <w:p>
      <w:pPr>
        <w:pStyle w:val="Compact"/>
        <w:numPr>
          <w:ilvl w:val="0"/>
          <w:numId w:val="1006"/>
        </w:numPr>
      </w:pPr>
      <w:r>
        <w:t xml:space="preserve">Protección de datos personales y menores (D.S. N.° 016-2024-JUS):</w:t>
      </w:r>
      <w:r>
        <w:t xml:space="preserve"> </w:t>
      </w:r>
      <w:hyperlink r:id="rId39">
        <w:r>
          <w:rPr>
            <w:rStyle w:val="Hyperlink"/>
          </w:rPr>
          <w:t xml:space="preserve">https://www.gob.pe/institucion/anpd/normas-legales/6554453-n-016-2024-jus</w:t>
        </w:r>
      </w:hyperlink>
    </w:p>
    <w:p>
      <w:pPr>
        <w:pStyle w:val="Compact"/>
        <w:numPr>
          <w:ilvl w:val="0"/>
          <w:numId w:val="1006"/>
        </w:numPr>
      </w:pPr>
      <w:r>
        <w:t xml:space="preserve">Uso ético y seguro de IA (Ley N.° 31814 y D.S. N.° 115-2025-PCM):</w:t>
      </w:r>
      <w:r>
        <w:t xml:space="preserve"> </w:t>
      </w:r>
      <w:hyperlink r:id="rId40">
        <w:r>
          <w:rPr>
            <w:rStyle w:val="Hyperlink"/>
          </w:rPr>
          <w:t xml:space="preserve">https://www.gob.pe/institucion/pcm/normas-legales/7133522-115-2025-pcm</w:t>
        </w:r>
      </w:hyperlink>
    </w:p>
    <w:p>
      <w:pPr>
        <w:pStyle w:val="Compact"/>
        <w:numPr>
          <w:ilvl w:val="0"/>
          <w:numId w:val="1006"/>
        </w:numPr>
      </w:pPr>
      <w:r>
        <w:t xml:space="preserve">Plataformas de referencia para el progreso del docente: Cambridge One (nivel MCER estimado por habilidad):</w:t>
      </w:r>
      <w:r>
        <w:t xml:space="preserve"> </w:t>
      </w:r>
      <w:hyperlink r:id="rId41">
        <w:r>
          <w:rPr>
            <w:rStyle w:val="Hyperlink"/>
          </w:rPr>
          <w:t xml:space="preserve">https://www.cambridgeone.org</w:t>
        </w:r>
      </w:hyperlink>
      <w:r>
        <w:t xml:space="preserve"> </w:t>
      </w:r>
      <w:r>
        <w:t xml:space="preserve">; Khanmigo (ruta personalizada y salvaguardas):</w:t>
      </w:r>
      <w:r>
        <w:t xml:space="preserve"> </w:t>
      </w:r>
      <w:hyperlink r:id="rId42">
        <w:r>
          <w:rPr>
            <w:rStyle w:val="Hyperlink"/>
          </w:rPr>
          <w:t xml:space="preserve">https://www.khanmigo.ai/pricing</w:t>
        </w:r>
      </w:hyperlink>
    </w:p>
    <w:p>
      <w:pPr>
        <w:pStyle w:val="Compact"/>
        <w:numPr>
          <w:ilvl w:val="0"/>
          <w:numId w:val="1006"/>
        </w:numPr>
      </w:pPr>
      <w:r>
        <w:t xml:space="preserve">UDL Guidelines 3.0 (CAST): udlguidelines.cast.org</w:t>
      </w:r>
    </w:p>
    <w:bookmarkEnd w:id="43"/>
    <w:bookmarkStart w:id="44" w:name="Xeacc5936c3862a53e7b07acc04927f5cb7a108c"/>
    <w:p>
      <w:pPr>
        <w:pStyle w:val="Heading3"/>
      </w:pPr>
      <w:r>
        <w:t xml:space="preserve">Anexo B · Evidencia de las pruebas del 15 de setiembre de 2026</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Prueba</w:t>
            </w:r>
          </w:p>
        </w:tc>
        <w:tc>
          <w:tcPr/>
          <w:p>
            <w:pPr>
              <w:pStyle w:val="Compact"/>
            </w:pPr>
            <w:r>
              <w:t xml:space="preserve">Versión anterior (la que se evaluó)</w:t>
            </w:r>
          </w:p>
        </w:tc>
        <w:tc>
          <w:tcPr/>
          <w:p>
            <w:pPr>
              <w:pStyle w:val="Compact"/>
            </w:pPr>
            <w:r>
              <w:t xml:space="preserve">Versión 2.0 (prototipo probado hoy)</w:t>
            </w:r>
          </w:p>
        </w:tc>
      </w:tr>
      <w:tr>
        <w:tc>
          <w:tcPr/>
          <w:p>
            <w:pPr>
              <w:pStyle w:val="Compact"/>
            </w:pPr>
            <w:r>
              <w:t xml:space="preserve">Pedir en español</w:t>
            </w:r>
          </w:p>
        </w:tc>
        <w:tc>
          <w:tcPr/>
          <w:p>
            <w:pPr>
              <w:pStyle w:val="Compact"/>
            </w:pPr>
            <w:r>
              <w:t xml:space="preserve">Explicó todo en español y escribió</w:t>
            </w:r>
            <w:r>
              <w:t xml:space="preserve"> </w:t>
            </w:r>
            <w:r>
              <w:rPr>
                <w:rStyle w:val="VerbatimChar"/>
              </w:rPr>
              <w:t xml:space="preserve">thought → /zot/</w:t>
            </w:r>
          </w:p>
        </w:tc>
        <w:tc>
          <w:tcPr/>
          <w:p>
            <w:pPr>
              <w:pStyle w:val="Compact"/>
            </w:pPr>
            <w:r>
              <w:t xml:space="preserve">Respondió con la prueba de nivel en inglés y apoyo en español etiquetado</w:t>
            </w:r>
          </w:p>
        </w:tc>
      </w:tr>
      <w:tr>
        <w:tc>
          <w:tcPr/>
          <w:p>
            <w:pPr>
              <w:pStyle w:val="Compact"/>
            </w:pPr>
            <w:r>
              <w:t xml:space="preserve">Pedir una imagen</w:t>
            </w:r>
          </w:p>
        </w:tc>
        <w:tc>
          <w:tcPr/>
          <w:p>
            <w:pPr>
              <w:pStyle w:val="Compact"/>
            </w:pPr>
            <w:r>
              <w:t xml:space="preserve">“Aquí no puedo enviar imágenes”</w:t>
            </w:r>
          </w:p>
        </w:tc>
        <w:tc>
          <w:tcPr/>
          <w:p>
            <w:pPr>
              <w:pStyle w:val="Compact"/>
            </w:pPr>
            <w:r>
              <w:t xml:space="preserve">Mostró la lámina por nombre y dio la lista con fonética correcta</w:t>
            </w:r>
          </w:p>
        </w:tc>
      </w:tr>
      <w:tr>
        <w:tc>
          <w:tcPr/>
          <w:p>
            <w:pPr>
              <w:pStyle w:val="Compact"/>
            </w:pPr>
            <w:r>
              <w:t xml:space="preserve">Preguntar por la ruta</w:t>
            </w:r>
          </w:p>
        </w:tc>
        <w:tc>
          <w:tcPr/>
          <w:p>
            <w:pPr>
              <w:pStyle w:val="Compact"/>
            </w:pPr>
            <w:r>
              <w:t xml:space="preserve">Listado genérico de niveles</w:t>
            </w:r>
          </w:p>
        </w:tc>
        <w:tc>
          <w:tcPr/>
          <w:p>
            <w:pPr>
              <w:pStyle w:val="Compact"/>
            </w:pPr>
            <w:r>
              <w:t xml:space="preserve">Objetivo can-do del día, criterio de éxito y las cinco fases</w:t>
            </w:r>
          </w:p>
        </w:tc>
      </w:tr>
      <w:tr>
        <w:tc>
          <w:tcPr/>
          <w:p>
            <w:pPr>
              <w:pStyle w:val="Compact"/>
            </w:pPr>
            <w:r>
              <w:t xml:space="preserve">Practicar pronunciación</w:t>
            </w:r>
          </w:p>
        </w:tc>
        <w:tc>
          <w:tcPr/>
          <w:p>
            <w:pPr>
              <w:pStyle w:val="Compact"/>
            </w:pPr>
            <w:r>
              <w:t xml:space="preserve">“No puedo escucharte hablar en vivo”</w:t>
            </w:r>
          </w:p>
        </w:tc>
        <w:tc>
          <w:tcPr/>
          <w:p>
            <w:pPr>
              <w:pStyle w:val="Compact"/>
            </w:pPr>
            <w:r>
              <w:t xml:space="preserve">Pidió leer en voz alta, y con el motor de fonemas devuelve los sonidos a trabajar</w:t>
            </w:r>
          </w:p>
        </w:tc>
      </w:tr>
      <w:tr>
        <w:tc>
          <w:tcPr/>
          <w:p>
            <w:pPr>
              <w:pStyle w:val="Compact"/>
            </w:pPr>
            <w:r>
              <w:t xml:space="preserve">Cerrar una sesión</w:t>
            </w:r>
          </w:p>
        </w:tc>
        <w:tc>
          <w:tcPr/>
          <w:p>
            <w:pPr>
              <w:pStyle w:val="Compact"/>
            </w:pPr>
            <w:r>
              <w:t xml:space="preserve">No había cierre</w:t>
            </w:r>
          </w:p>
        </w:tc>
        <w:tc>
          <w:tcPr/>
          <w:p>
            <w:pPr>
              <w:pStyle w:val="Compact"/>
            </w:pPr>
            <w:r>
              <w:t xml:space="preserve">Registro automático: nivel, objetivo, errores, autoevaluación y qué practicar</w:t>
            </w:r>
          </w:p>
        </w:tc>
      </w:tr>
    </w:tbl>
    <w:p>
      <w:pPr>
        <w:pStyle w:val="BodyText"/>
      </w:pPr>
      <w:r>
        <w:t xml:space="preserve">Los archivos de las conversaciones de prueba quedan a disposición de la Dirección Académica.</w:t>
      </w:r>
    </w:p>
    <w:bookmarkEnd w:id="44"/>
    <w:bookmarkEnd w:id="45"/>
    <w:bookmarkEnd w:id="4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https://book.coe.int/en/education-and-modern-languages/8152-common-european-framework-of-reference-for-languages-learning-teaching-assessment-companion-volume.html" TargetMode="External" /><Relationship Type="http://schemas.openxmlformats.org/officeDocument/2006/relationships/hyperlink" Id="rId30" Target="https://doi.org/10.1017/s0272263109990520" TargetMode="External" /><Relationship Type="http://schemas.openxmlformats.org/officeDocument/2006/relationships/hyperlink" Id="rId28" Target="https://doi.org/10.1017/s0272263197001034" TargetMode="External" /><Relationship Type="http://schemas.openxmlformats.org/officeDocument/2006/relationships/hyperlink" Id="rId31" Target="https://doi.org/10.1080/0969595980050102" TargetMode="External" /><Relationship Type="http://schemas.openxmlformats.org/officeDocument/2006/relationships/hyperlink" Id="rId33" Target="https://doi.org/10.1111/ijal.12668" TargetMode="External" /><Relationship Type="http://schemas.openxmlformats.org/officeDocument/2006/relationships/hyperlink" Id="rId29" Target="https://doi.org/10.1111/j.1467-9922.2010.00561.x" TargetMode="External" /><Relationship Type="http://schemas.openxmlformats.org/officeDocument/2006/relationships/hyperlink" Id="rId26" Target="https://doi.org/10.1111/j.1469-7610.1976.tb00381.x" TargetMode="External" /><Relationship Type="http://schemas.openxmlformats.org/officeDocument/2006/relationships/hyperlink" Id="rId34" Target="https://doi.org/10.3102/00346543241255621" TargetMode="External" /><Relationship Type="http://schemas.openxmlformats.org/officeDocument/2006/relationships/hyperlink" Id="rId27" Target="https://files.eric.ed.gov/fulltext/EJ1081990.pdf" TargetMode="External" /><Relationship Type="http://schemas.openxmlformats.org/officeDocument/2006/relationships/hyperlink" Id="rId23" Target="https://rm.coe.int/common-european-frame-work-of-reference-for-languages-learning-teaching/16809ea0d4" TargetMode="External" /><Relationship Type="http://schemas.openxmlformats.org/officeDocument/2006/relationships/hyperlink" Id="rId25" Target="https://udlguidelines.cast.org" TargetMode="External" /><Relationship Type="http://schemas.openxmlformats.org/officeDocument/2006/relationships/hyperlink" Id="rId32" Target="https://www.cambridgeenglish.org/english-research-group/fitness-for-purpose/loa" TargetMode="External" /><Relationship Type="http://schemas.openxmlformats.org/officeDocument/2006/relationships/hyperlink" Id="rId41" Target="https://www.cambridgeone.org" TargetMode="External" /><Relationship Type="http://schemas.openxmlformats.org/officeDocument/2006/relationships/hyperlink" Id="rId38" Target="https://www.elperuano.pe/noticia/272493-ley-limita-uso-de-celulares-en-aulas" TargetMode="External" /><Relationship Type="http://schemas.openxmlformats.org/officeDocument/2006/relationships/hyperlink" Id="rId39" Target="https://www.gob.pe/institucion/anpd/normas-legales/6554453-n-016-2024-jus" TargetMode="External" /><Relationship Type="http://schemas.openxmlformats.org/officeDocument/2006/relationships/hyperlink" Id="rId37" Target="https://www.gob.pe/institucion/minedu/normas-legales/541161-094-2020-minedu" TargetMode="External" /><Relationship Type="http://schemas.openxmlformats.org/officeDocument/2006/relationships/hyperlink" Id="rId40" Target="https://www.gob.pe/institucion/pcm/normas-legales/7133522-115-2025-pcm" TargetMode="External" /><Relationship Type="http://schemas.openxmlformats.org/officeDocument/2006/relationships/hyperlink" Id="rId42" Target="https://www.khanmigo.ai/pricing" TargetMode="External" /><Relationship Type="http://schemas.openxmlformats.org/officeDocument/2006/relationships/hyperlink" Id="rId36" Target="https://www.minedu.gob.pe/curriculo/pdf/curriculo-nacional-de-la-educacion-basica.pdf" TargetMode="External" /><Relationship Type="http://schemas.openxmlformats.org/officeDocument/2006/relationships/hyperlink" Id="rId35" Target="https://www.unesco.org/en/articles/unesco-governments-must-quickly-regulate-generative-ai-schools" TargetMode="External" /></Relationships>
</file>

<file path=word/_rels/footnotes.xml.rels><?xml version="1.0" encoding="UTF-8"?><Relationships xmlns="http://schemas.openxmlformats.org/package/2006/relationships"><Relationship Type="http://schemas.openxmlformats.org/officeDocument/2006/relationships/hyperlink" Id="rId24" Target="https://book.coe.int/en/education-and-modern-languages/8152-common-european-framework-of-reference-for-languages-learning-teaching-assessment-companion-volume.html" TargetMode="External" /><Relationship Type="http://schemas.openxmlformats.org/officeDocument/2006/relationships/hyperlink" Id="rId30" Target="https://doi.org/10.1017/s0272263109990520" TargetMode="External" /><Relationship Type="http://schemas.openxmlformats.org/officeDocument/2006/relationships/hyperlink" Id="rId28" Target="https://doi.org/10.1017/s0272263197001034" TargetMode="External" /><Relationship Type="http://schemas.openxmlformats.org/officeDocument/2006/relationships/hyperlink" Id="rId31" Target="https://doi.org/10.1080/0969595980050102" TargetMode="External" /><Relationship Type="http://schemas.openxmlformats.org/officeDocument/2006/relationships/hyperlink" Id="rId33" Target="https://doi.org/10.1111/ijal.12668" TargetMode="External" /><Relationship Type="http://schemas.openxmlformats.org/officeDocument/2006/relationships/hyperlink" Id="rId29" Target="https://doi.org/10.1111/j.1467-9922.2010.00561.x" TargetMode="External" /><Relationship Type="http://schemas.openxmlformats.org/officeDocument/2006/relationships/hyperlink" Id="rId26" Target="https://doi.org/10.1111/j.1469-7610.1976.tb00381.x" TargetMode="External" /><Relationship Type="http://schemas.openxmlformats.org/officeDocument/2006/relationships/hyperlink" Id="rId34" Target="https://doi.org/10.3102/00346543241255621" TargetMode="External" /><Relationship Type="http://schemas.openxmlformats.org/officeDocument/2006/relationships/hyperlink" Id="rId27" Target="https://files.eric.ed.gov/fulltext/EJ1081990.pdf" TargetMode="External" /><Relationship Type="http://schemas.openxmlformats.org/officeDocument/2006/relationships/hyperlink" Id="rId23" Target="https://rm.coe.int/common-european-frame-work-of-reference-for-languages-learning-teaching/16809ea0d4" TargetMode="External" /><Relationship Type="http://schemas.openxmlformats.org/officeDocument/2006/relationships/hyperlink" Id="rId25" Target="https://udlguidelines.cast.org" TargetMode="External" /><Relationship Type="http://schemas.openxmlformats.org/officeDocument/2006/relationships/hyperlink" Id="rId32" Target="https://www.cambridgeenglish.org/english-research-group/fitness-for-purpose/loa" TargetMode="External" /><Relationship Type="http://schemas.openxmlformats.org/officeDocument/2006/relationships/hyperlink" Id="rId41" Target="https://www.cambridgeone.org" TargetMode="External" /><Relationship Type="http://schemas.openxmlformats.org/officeDocument/2006/relationships/hyperlink" Id="rId38" Target="https://www.elperuano.pe/noticia/272493-ley-limita-uso-de-celulares-en-aulas" TargetMode="External" /><Relationship Type="http://schemas.openxmlformats.org/officeDocument/2006/relationships/hyperlink" Id="rId39" Target="https://www.gob.pe/institucion/anpd/normas-legales/6554453-n-016-2024-jus" TargetMode="External" /><Relationship Type="http://schemas.openxmlformats.org/officeDocument/2006/relationships/hyperlink" Id="rId37" Target="https://www.gob.pe/institucion/minedu/normas-legales/541161-094-2020-minedu" TargetMode="External" /><Relationship Type="http://schemas.openxmlformats.org/officeDocument/2006/relationships/hyperlink" Id="rId40" Target="https://www.gob.pe/institucion/pcm/normas-legales/7133522-115-2025-pcm" TargetMode="External" /><Relationship Type="http://schemas.openxmlformats.org/officeDocument/2006/relationships/hyperlink" Id="rId42" Target="https://www.khanmigo.ai/pricing" TargetMode="External" /><Relationship Type="http://schemas.openxmlformats.org/officeDocument/2006/relationships/hyperlink" Id="rId36" Target="https://www.minedu.gob.pe/curriculo/pdf/curriculo-nacional-de-la-educacion-basica.pdf" TargetMode="External" /><Relationship Type="http://schemas.openxmlformats.org/officeDocument/2006/relationships/hyperlink" Id="rId35" Target="https://www.unesco.org/en/articles/unesco-governments-must-quickly-regulate-generative-ai-schoo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2026-09-15T01:18:00Z</dcterms:created>
  <dcterms:modified xsi:type="dcterms:W3CDTF">2026-09-15T01:18:00Z</dcterms:modified>
</cp:coreProperties>
</file>

<file path=docProps/custom.xml><?xml version="1.0" encoding="utf-8"?>
<Properties xmlns="http://schemas.openxmlformats.org/officeDocument/2006/custom-properties" xmlns:vt="http://schemas.openxmlformats.org/officeDocument/2006/docPropsVTypes"/>
</file>